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2B1A0" w14:textId="66E26257" w:rsidR="00A57C7C" w:rsidRDefault="00A57C7C" w:rsidP="007927EA">
      <w:pPr>
        <w:spacing w:line="480" w:lineRule="auto"/>
        <w:jc w:val="center"/>
        <w:rPr>
          <w:b/>
          <w:bCs/>
          <w:sz w:val="26"/>
          <w:szCs w:val="26"/>
        </w:rPr>
      </w:pPr>
      <w:r w:rsidRPr="00E57F54">
        <w:rPr>
          <w:b/>
          <w:bCs/>
          <w:sz w:val="26"/>
          <w:szCs w:val="26"/>
        </w:rPr>
        <w:t xml:space="preserve">Aligning Participation and Protection in </w:t>
      </w:r>
      <w:r w:rsidR="00A04F14">
        <w:rPr>
          <w:b/>
          <w:bCs/>
          <w:sz w:val="26"/>
          <w:szCs w:val="26"/>
        </w:rPr>
        <w:t xml:space="preserve">the </w:t>
      </w:r>
      <w:r w:rsidRPr="00E57F54">
        <w:rPr>
          <w:b/>
          <w:bCs/>
          <w:sz w:val="26"/>
          <w:szCs w:val="26"/>
        </w:rPr>
        <w:t>Women Peace and Security</w:t>
      </w:r>
      <w:r w:rsidR="00A04F14">
        <w:rPr>
          <w:b/>
          <w:bCs/>
          <w:sz w:val="26"/>
          <w:szCs w:val="26"/>
        </w:rPr>
        <w:t xml:space="preserve"> Agenda</w:t>
      </w:r>
    </w:p>
    <w:p w14:paraId="15E37EF2" w14:textId="3460A949" w:rsidR="00FC2F07" w:rsidRPr="007927EA" w:rsidRDefault="00FC2F07" w:rsidP="007927EA">
      <w:pPr>
        <w:spacing w:line="480" w:lineRule="auto"/>
        <w:jc w:val="center"/>
        <w:rPr>
          <w:b/>
          <w:bCs/>
          <w:sz w:val="26"/>
          <w:szCs w:val="26"/>
        </w:rPr>
      </w:pPr>
      <w:r>
        <w:rPr>
          <w:b/>
          <w:bCs/>
          <w:sz w:val="26"/>
          <w:szCs w:val="26"/>
        </w:rPr>
        <w:t>Catherine Turner and Aisling Swaine</w:t>
      </w:r>
    </w:p>
    <w:p w14:paraId="00000001" w14:textId="010270EC" w:rsidR="00E77C08" w:rsidRDefault="008C09A3">
      <w:pPr>
        <w:spacing w:line="360" w:lineRule="auto"/>
        <w:jc w:val="both"/>
        <w:rPr>
          <w:b/>
        </w:rPr>
      </w:pPr>
      <w:r>
        <w:rPr>
          <w:b/>
        </w:rPr>
        <w:t xml:space="preserve">Abstract </w:t>
      </w:r>
    </w:p>
    <w:p w14:paraId="6D446CC1" w14:textId="39EEAABE" w:rsidR="00B22788" w:rsidRDefault="00776967" w:rsidP="00B22788">
      <w:pPr>
        <w:spacing w:line="276" w:lineRule="auto"/>
        <w:jc w:val="both"/>
      </w:pPr>
      <w:r>
        <w:t>This article presents the first feminist doctrinal textual analysis of cross-pillar synergies within thematic resolutions of the UN Security Council</w:t>
      </w:r>
      <w:r w:rsidR="00E05D37">
        <w:t>. S</w:t>
      </w:r>
      <w:r>
        <w:t>pecifically</w:t>
      </w:r>
      <w:r w:rsidR="00E05D37">
        <w:t>, it examines the pillars of</w:t>
      </w:r>
      <w:r>
        <w:t xml:space="preserve"> ‘participation’ and ‘protection’ </w:t>
      </w:r>
      <w:r w:rsidR="00B22788">
        <w:t>under</w:t>
      </w:r>
      <w:r>
        <w:t xml:space="preserve"> the women, peace and security agenda</w:t>
      </w:r>
      <w:r w:rsidR="00E05D37">
        <w:t xml:space="preserve"> (WPS)</w:t>
      </w:r>
      <w:r>
        <w:t>.</w:t>
      </w:r>
      <w:r w:rsidR="00B22788">
        <w:t xml:space="preserve"> In attempts to balance agency with victimhood, normative advancement of both pillars ha</w:t>
      </w:r>
      <w:r w:rsidR="00C51A4A">
        <w:t>s</w:t>
      </w:r>
      <w:r w:rsidR="00B22788">
        <w:t xml:space="preserve"> until recently evolved </w:t>
      </w:r>
      <w:r w:rsidR="00C51A4A">
        <w:t>along</w:t>
      </w:r>
      <w:r w:rsidR="00B22788">
        <w:t xml:space="preserve"> parallel </w:t>
      </w:r>
      <w:r w:rsidR="00C51A4A">
        <w:t>tracks</w:t>
      </w:r>
      <w:r w:rsidR="00B22788">
        <w:t>, with little acknowledgment</w:t>
      </w:r>
      <w:r w:rsidR="00907F70">
        <w:t xml:space="preserve"> </w:t>
      </w:r>
      <w:r w:rsidR="00713C77">
        <w:t>of how</w:t>
      </w:r>
      <w:r w:rsidR="00B22788">
        <w:t xml:space="preserve"> protection relat</w:t>
      </w:r>
      <w:r w:rsidR="00713C77">
        <w:t>es</w:t>
      </w:r>
      <w:r w:rsidR="00B22788">
        <w:t xml:space="preserve"> to women’s participation.</w:t>
      </w:r>
      <w:r w:rsidR="00B22788" w:rsidRPr="00B22788">
        <w:t xml:space="preserve"> </w:t>
      </w:r>
      <w:r w:rsidR="00713C77">
        <w:t>T</w:t>
      </w:r>
      <w:r w:rsidR="00B22788">
        <w:t xml:space="preserve">he paper identifies synergies, gaps and productive tensions </w:t>
      </w:r>
      <w:r w:rsidR="00713C77">
        <w:t>as</w:t>
      </w:r>
      <w:r w:rsidR="00B22788">
        <w:t xml:space="preserve"> the </w:t>
      </w:r>
      <w:r w:rsidR="00E05D37">
        <w:t xml:space="preserve">WPS </w:t>
      </w:r>
      <w:r w:rsidR="00B22788">
        <w:t xml:space="preserve">agenda begins to engage with the inter-relationship between </w:t>
      </w:r>
      <w:r w:rsidR="00907F70">
        <w:t>the pillars</w:t>
      </w:r>
      <w:r w:rsidR="00E05D37">
        <w:t xml:space="preserve">. It </w:t>
      </w:r>
      <w:r w:rsidR="00713C77">
        <w:t>outlines</w:t>
      </w:r>
      <w:r w:rsidR="00B22788">
        <w:t xml:space="preserve"> critical implications</w:t>
      </w:r>
      <w:r w:rsidR="00E05D37">
        <w:t xml:space="preserve"> and considerations for </w:t>
      </w:r>
      <w:r w:rsidR="00713C77">
        <w:t xml:space="preserve">any </w:t>
      </w:r>
      <w:r w:rsidR="00B22788">
        <w:t xml:space="preserve">future moves towards cross-pillar </w:t>
      </w:r>
      <w:r w:rsidR="00713C77">
        <w:t>congruence</w:t>
      </w:r>
      <w:r w:rsidR="00B22788">
        <w:t xml:space="preserve">. </w:t>
      </w:r>
    </w:p>
    <w:p w14:paraId="00000002" w14:textId="19A66491" w:rsidR="00E77C08" w:rsidRDefault="00E77C08">
      <w:pPr>
        <w:spacing w:line="360" w:lineRule="auto"/>
        <w:jc w:val="both"/>
        <w:rPr>
          <w:b/>
        </w:rPr>
      </w:pPr>
    </w:p>
    <w:p w14:paraId="1F6CCA2C" w14:textId="0D167ADF" w:rsidR="00C748AF" w:rsidRDefault="00C25BD6">
      <w:pPr>
        <w:spacing w:line="360" w:lineRule="auto"/>
        <w:jc w:val="both"/>
        <w:rPr>
          <w:b/>
        </w:rPr>
      </w:pPr>
      <w:r>
        <w:rPr>
          <w:b/>
        </w:rPr>
        <w:t>Key words:</w:t>
      </w:r>
    </w:p>
    <w:p w14:paraId="32748099" w14:textId="6B1DCC0B" w:rsidR="00C25BD6" w:rsidRDefault="00C25BD6">
      <w:pPr>
        <w:spacing w:line="360" w:lineRule="auto"/>
        <w:jc w:val="both"/>
        <w:rPr>
          <w:bCs/>
        </w:rPr>
      </w:pPr>
      <w:r w:rsidRPr="00C25BD6">
        <w:rPr>
          <w:bCs/>
        </w:rPr>
        <w:t>gender; participation; protection; thematic resolutions; UN Security Council; women, peace and security;</w:t>
      </w:r>
    </w:p>
    <w:p w14:paraId="7129BE00" w14:textId="77777777" w:rsidR="00C25BD6" w:rsidRPr="00C25BD6" w:rsidRDefault="00C25BD6">
      <w:pPr>
        <w:spacing w:line="360" w:lineRule="auto"/>
        <w:jc w:val="both"/>
        <w:rPr>
          <w:bCs/>
        </w:rPr>
      </w:pPr>
    </w:p>
    <w:p w14:paraId="00000003" w14:textId="0B2E083C" w:rsidR="00E77C08" w:rsidRDefault="00E72856" w:rsidP="00DC1D64">
      <w:pPr>
        <w:pStyle w:val="Heading1"/>
        <w:numPr>
          <w:ilvl w:val="0"/>
          <w:numId w:val="5"/>
        </w:numPr>
      </w:pPr>
      <w:r w:rsidRPr="008741AA">
        <w:t xml:space="preserve">INTRODUCTION </w:t>
      </w:r>
    </w:p>
    <w:p w14:paraId="7FFE900E" w14:textId="77777777" w:rsidR="001758A5" w:rsidRPr="001758A5" w:rsidRDefault="001758A5" w:rsidP="001758A5"/>
    <w:p w14:paraId="00000005" w14:textId="4331F057" w:rsidR="00E77C08" w:rsidRDefault="008C09A3" w:rsidP="0022059A">
      <w:pPr>
        <w:spacing w:line="360" w:lineRule="auto"/>
        <w:jc w:val="both"/>
      </w:pPr>
      <w:r>
        <w:t xml:space="preserve">Women’s participation, or the idea that women would be equally, or at least partially, represented in mechanisms established to advance </w:t>
      </w:r>
      <w:r w:rsidR="00556729">
        <w:t xml:space="preserve">global </w:t>
      </w:r>
      <w:r>
        <w:t xml:space="preserve">peace and security, is a core pillar of the UN Security Council’s Women Peace and Security agenda (WPS). As a policy goal, ‘women’s participation’ has achieved significant normative clout since the turn of the century, particularly in the context of peace processes. Driven in the main by the WPS resolutions, the idea of women’s participation is not just promoted, but at times celebrated internationally by governments, nongovernmental organizations, and the media. </w:t>
      </w:r>
      <w:r w:rsidR="005D55D7">
        <w:t>In many contexts, t</w:t>
      </w:r>
      <w:r>
        <w:t>his has led to an environment where women have been</w:t>
      </w:r>
      <w:r w:rsidR="00707839">
        <w:t xml:space="preserve"> </w:t>
      </w:r>
      <w:r>
        <w:t>targeted for their participation, and for their engagement with the agenda.</w:t>
      </w:r>
      <w:r>
        <w:rPr>
          <w:vertAlign w:val="superscript"/>
        </w:rPr>
        <w:footnoteReference w:id="1"/>
      </w:r>
      <w:r>
        <w:t xml:space="preserve"> This became evident with the targeting of women who participated as civil society briefers within the Security Council’s own debates, </w:t>
      </w:r>
      <w:r w:rsidR="005D55D7">
        <w:t>and</w:t>
      </w:r>
      <w:r>
        <w:t xml:space="preserve"> had to be addressed through </w:t>
      </w:r>
      <w:r w:rsidR="005D55D7">
        <w:t>its</w:t>
      </w:r>
      <w:r>
        <w:t xml:space="preserve"> </w:t>
      </w:r>
      <w:proofErr w:type="spellStart"/>
      <w:r>
        <w:t>Arria</w:t>
      </w:r>
      <w:proofErr w:type="spellEnd"/>
      <w:r>
        <w:t xml:space="preserve"> Formula mechanism in February 2022.</w:t>
      </w:r>
      <w:r>
        <w:rPr>
          <w:vertAlign w:val="superscript"/>
        </w:rPr>
        <w:footnoteReference w:id="2"/>
      </w:r>
      <w:r>
        <w:t xml:space="preserve"> </w:t>
      </w:r>
      <w:r w:rsidR="005D55D7">
        <w:t xml:space="preserve">That example is </w:t>
      </w:r>
      <w:r>
        <w:t xml:space="preserve">only a snapshot of a broader problem. </w:t>
      </w:r>
      <w:r w:rsidR="005D55D7">
        <w:t>In</w:t>
      </w:r>
      <w:r>
        <w:t xml:space="preserve"> </w:t>
      </w:r>
      <w:r w:rsidR="005D55D7">
        <w:t>many settings</w:t>
      </w:r>
      <w:r>
        <w:t xml:space="preserve"> </w:t>
      </w:r>
      <w:r w:rsidR="00C748AF">
        <w:t>globally</w:t>
      </w:r>
      <w:r w:rsidR="005D55D7">
        <w:t>, women</w:t>
      </w:r>
      <w:r w:rsidR="00C748AF">
        <w:t xml:space="preserve"> </w:t>
      </w:r>
      <w:r>
        <w:lastRenderedPageBreak/>
        <w:t xml:space="preserve">are encouraged to ‘participate’ under the WPS agenda, </w:t>
      </w:r>
      <w:r w:rsidR="00556729">
        <w:t>resulting in</w:t>
      </w:r>
      <w:r w:rsidRPr="00A130BB">
        <w:t xml:space="preserve"> </w:t>
      </w:r>
      <w:r w:rsidRPr="00A130BB">
        <w:rPr>
          <w:shd w:val="clear" w:color="auto" w:fill="FBFBFB"/>
        </w:rPr>
        <w:t xml:space="preserve">conditions of significant </w:t>
      </w:r>
      <w:r w:rsidR="005D55D7">
        <w:rPr>
          <w:shd w:val="clear" w:color="auto" w:fill="FBFBFB"/>
        </w:rPr>
        <w:t xml:space="preserve">related </w:t>
      </w:r>
      <w:r w:rsidRPr="00A130BB">
        <w:rPr>
          <w:shd w:val="clear" w:color="auto" w:fill="FBFBFB"/>
        </w:rPr>
        <w:t>risk</w:t>
      </w:r>
      <w:r w:rsidR="006B01F1">
        <w:rPr>
          <w:shd w:val="clear" w:color="auto" w:fill="FBFBFB"/>
        </w:rPr>
        <w:t>. S</w:t>
      </w:r>
      <w:r w:rsidRPr="00A130BB">
        <w:rPr>
          <w:shd w:val="clear" w:color="auto" w:fill="FBFBFB"/>
        </w:rPr>
        <w:t xml:space="preserve">urprisingly little consideration has been given to how that </w:t>
      </w:r>
      <w:r w:rsidR="005D55D7">
        <w:rPr>
          <w:shd w:val="clear" w:color="auto" w:fill="FBFBFB"/>
        </w:rPr>
        <w:t xml:space="preserve">global political </w:t>
      </w:r>
      <w:r w:rsidRPr="00A130BB">
        <w:rPr>
          <w:shd w:val="clear" w:color="auto" w:fill="FBFBFB"/>
        </w:rPr>
        <w:t xml:space="preserve">push for participation may be accompanied by exposure to </w:t>
      </w:r>
      <w:r w:rsidR="006A1BB2">
        <w:rPr>
          <w:shd w:val="clear" w:color="auto" w:fill="FBFBFB"/>
        </w:rPr>
        <w:t>danger</w:t>
      </w:r>
      <w:r w:rsidR="00A130BB" w:rsidRPr="00A130BB">
        <w:rPr>
          <w:shd w:val="clear" w:color="auto" w:fill="FBFBFB"/>
        </w:rPr>
        <w:t>.</w:t>
      </w:r>
      <w:r w:rsidRPr="00A130BB">
        <w:rPr>
          <w:shd w:val="clear" w:color="auto" w:fill="FBFBFB"/>
          <w:vertAlign w:val="superscript"/>
        </w:rPr>
        <w:footnoteReference w:id="3"/>
      </w:r>
      <w:r>
        <w:rPr>
          <w:shd w:val="clear" w:color="auto" w:fill="FBFBFB"/>
        </w:rPr>
        <w:t xml:space="preserve"> </w:t>
      </w:r>
    </w:p>
    <w:p w14:paraId="00000007" w14:textId="7ABF780A" w:rsidR="00E77C08" w:rsidRDefault="008C09A3" w:rsidP="007E5A45">
      <w:pPr>
        <w:spacing w:line="360" w:lineRule="auto"/>
        <w:ind w:firstLine="720"/>
        <w:jc w:val="both"/>
      </w:pPr>
      <w:r>
        <w:t>While women’s participation is</w:t>
      </w:r>
      <w:r w:rsidR="006A1BB2">
        <w:t>,</w:t>
      </w:r>
      <w:r>
        <w:t xml:space="preserve"> and remains</w:t>
      </w:r>
      <w:r w:rsidR="006A1BB2">
        <w:t>,</w:t>
      </w:r>
      <w:r>
        <w:t xml:space="preserve"> a significant normative concern, the concomitant protection risks that arise for women because of the hypervisibility of their public roles is an </w:t>
      </w:r>
      <w:proofErr w:type="gramStart"/>
      <w:r>
        <w:t xml:space="preserve">area </w:t>
      </w:r>
      <w:r w:rsidR="00C748AF">
        <w:t xml:space="preserve"> </w:t>
      </w:r>
      <w:r>
        <w:t>in</w:t>
      </w:r>
      <w:proofErr w:type="gramEnd"/>
      <w:r>
        <w:t xml:space="preserve"> need of urgent attention. The rapidly deteriorating security situation in Afghanistan in August 2021</w:t>
      </w:r>
      <w:r w:rsidR="006D611B">
        <w:t>,</w:t>
      </w:r>
      <w:r>
        <w:t xml:space="preserve"> for example</w:t>
      </w:r>
      <w:r w:rsidR="006D611B">
        <w:t>,</w:t>
      </w:r>
      <w:r>
        <w:t xml:space="preserve"> starkly exposed the degree to which existing threats and risks faced by women in public roles became acute and life threatening, requiring a securitised response to ensure their safety.</w:t>
      </w:r>
      <w:r w:rsidR="001535B3">
        <w:rPr>
          <w:rStyle w:val="FootnoteReference"/>
        </w:rPr>
        <w:footnoteReference w:id="4"/>
      </w:r>
      <w:r>
        <w:t xml:space="preserve"> One particular tension </w:t>
      </w:r>
      <w:r w:rsidR="006D611B">
        <w:t>brought into sharp relief by</w:t>
      </w:r>
      <w:r>
        <w:t xml:space="preserve"> th</w:t>
      </w:r>
      <w:r w:rsidR="00C5551F">
        <w:t>o</w:t>
      </w:r>
      <w:r>
        <w:t xml:space="preserve">se events is the separation within the WPS agenda of </w:t>
      </w:r>
      <w:r w:rsidR="000B6515">
        <w:t xml:space="preserve">normative advancement of </w:t>
      </w:r>
      <w:r>
        <w:t>women’s participation on one hand, and their protection from r</w:t>
      </w:r>
      <w:r w:rsidR="006559BE">
        <w:t>elated threats and risks on the other</w:t>
      </w:r>
      <w:r>
        <w:t xml:space="preserve">. Women’s participation has been promoted as a form of agentic leadership in the field of peace and security. This stands in contrast to protection, which has tended to cast women as victims in need of protection, particularly from sexual violence. What has been less apparent until relatively recently is any crossover between </w:t>
      </w:r>
      <w:r w:rsidR="0099495B">
        <w:t xml:space="preserve">the push for </w:t>
      </w:r>
      <w:r>
        <w:t>women’s participation</w:t>
      </w:r>
      <w:r w:rsidR="00DC7738">
        <w:t>,</w:t>
      </w:r>
      <w:r>
        <w:t xml:space="preserve"> </w:t>
      </w:r>
      <w:r w:rsidR="00DC7738">
        <w:t>while</w:t>
      </w:r>
      <w:r>
        <w:t xml:space="preserve"> </w:t>
      </w:r>
      <w:r w:rsidR="00DC7738">
        <w:t>concurrently addressing those same women’s</w:t>
      </w:r>
      <w:r>
        <w:t xml:space="preserve"> need for protection</w:t>
      </w:r>
      <w:r w:rsidR="00DC7738">
        <w:t xml:space="preserve"> as a result</w:t>
      </w:r>
      <w:r>
        <w:t xml:space="preserve">. The situation in Afghanistan revealed the limitations of an approach that treats women’s participation and their protection as separate spheres of norms, rights entitlements and policy intervention. </w:t>
      </w:r>
      <w:r w:rsidR="00A130BB" w:rsidRPr="00A130BB">
        <w:rPr>
          <w:shd w:val="clear" w:color="auto" w:fill="FBFBFB"/>
        </w:rPr>
        <w:t xml:space="preserve">It points us towards critical questions about whether and how the inter-relationship between the two is, or should be, better </w:t>
      </w:r>
      <w:r w:rsidR="00A130BB" w:rsidRPr="00A130BB">
        <w:t>accommodated within the framework of WPS.</w:t>
      </w:r>
    </w:p>
    <w:p w14:paraId="224A6AED" w14:textId="5BB96D28" w:rsidR="00FC7DB3" w:rsidRDefault="008C09A3" w:rsidP="00FC7DB3">
      <w:pPr>
        <w:spacing w:line="360" w:lineRule="auto"/>
        <w:ind w:firstLine="720"/>
        <w:jc w:val="both"/>
      </w:pPr>
      <w:r>
        <w:t xml:space="preserve">The high profile and apparent failure of the WPS agenda in Afghanistan and elsewhere has led some to question the </w:t>
      </w:r>
      <w:r w:rsidR="00DC7738">
        <w:t xml:space="preserve">very </w:t>
      </w:r>
      <w:r>
        <w:t xml:space="preserve">utility of </w:t>
      </w:r>
      <w:r w:rsidR="00DC7738">
        <w:t>the</w:t>
      </w:r>
      <w:r>
        <w:t xml:space="preserve"> agenda</w:t>
      </w:r>
      <w:r w:rsidR="00DC7738">
        <w:t>. Its rootedness in</w:t>
      </w:r>
      <w:r>
        <w:t xml:space="preserve"> militarisation </w:t>
      </w:r>
      <w:r w:rsidR="00DC7738">
        <w:t>raises significant concerns regarding its potential to advance an inclusive peace, while</w:t>
      </w:r>
      <w:r>
        <w:t xml:space="preserve"> </w:t>
      </w:r>
      <w:r w:rsidR="00DC7738">
        <w:t>its</w:t>
      </w:r>
      <w:r>
        <w:t xml:space="preserve"> fail</w:t>
      </w:r>
      <w:r w:rsidR="00DC7738">
        <w:t>ure t</w:t>
      </w:r>
      <w:r>
        <w:t xml:space="preserve">o deliver meaningful </w:t>
      </w:r>
      <w:r w:rsidR="00DC7738">
        <w:t xml:space="preserve">practical and political </w:t>
      </w:r>
      <w:r>
        <w:t>improvements in the lives of women living in armed conflict</w:t>
      </w:r>
      <w:r w:rsidR="00DC7738">
        <w:t xml:space="preserve"> settings, is heavily criticised</w:t>
      </w:r>
      <w:r>
        <w:t>.</w:t>
      </w:r>
      <w:r>
        <w:rPr>
          <w:vertAlign w:val="superscript"/>
        </w:rPr>
        <w:footnoteReference w:id="5"/>
      </w:r>
      <w:r>
        <w:t xml:space="preserve"> </w:t>
      </w:r>
      <w:r w:rsidR="00556729">
        <w:t xml:space="preserve">This is all despite the efforts of the UN system and its partners to advance implementation of the agenda. </w:t>
      </w:r>
      <w:r w:rsidR="00DC7738">
        <w:t>These</w:t>
      </w:r>
      <w:r>
        <w:t xml:space="preserve"> </w:t>
      </w:r>
      <w:r w:rsidR="00DC7738">
        <w:t>are</w:t>
      </w:r>
      <w:r>
        <w:t xml:space="preserve"> not a new critique</w:t>
      </w:r>
      <w:r w:rsidR="00DC7738">
        <w:t>s</w:t>
      </w:r>
      <w:r>
        <w:t xml:space="preserve">, </w:t>
      </w:r>
      <w:r w:rsidR="00DC7738">
        <w:t xml:space="preserve">rather they are </w:t>
      </w:r>
      <w:r>
        <w:t xml:space="preserve">given fresh </w:t>
      </w:r>
      <w:r>
        <w:lastRenderedPageBreak/>
        <w:t xml:space="preserve">impetus </w:t>
      </w:r>
      <w:proofErr w:type="gramStart"/>
      <w:r>
        <w:t xml:space="preserve">by </w:t>
      </w:r>
      <w:r w:rsidR="00DC7738">
        <w:t xml:space="preserve"> </w:t>
      </w:r>
      <w:r>
        <w:t>recent</w:t>
      </w:r>
      <w:proofErr w:type="gramEnd"/>
      <w:r>
        <w:t xml:space="preserve"> events. </w:t>
      </w:r>
      <w:r>
        <w:rPr>
          <w:highlight w:val="white"/>
        </w:rPr>
        <w:t xml:space="preserve">The </w:t>
      </w:r>
      <w:r w:rsidR="00DC7738">
        <w:rPr>
          <w:highlight w:val="white"/>
        </w:rPr>
        <w:t xml:space="preserve">UN </w:t>
      </w:r>
      <w:r>
        <w:rPr>
          <w:highlight w:val="white"/>
        </w:rPr>
        <w:t xml:space="preserve">Security Council </w:t>
      </w:r>
      <w:r w:rsidR="00DC7738">
        <w:rPr>
          <w:highlight w:val="white"/>
        </w:rPr>
        <w:t xml:space="preserve">(UNSC) </w:t>
      </w:r>
      <w:r>
        <w:rPr>
          <w:highlight w:val="white"/>
        </w:rPr>
        <w:t xml:space="preserve">has in recent times suffered a resurgent legitimacy crisis, particularly since the Russian invasion of Ukraine. Further, we see </w:t>
      </w:r>
      <w:r w:rsidR="00DC7738">
        <w:rPr>
          <w:highlight w:val="white"/>
        </w:rPr>
        <w:t xml:space="preserve">a broader </w:t>
      </w:r>
      <w:r>
        <w:rPr>
          <w:highlight w:val="white"/>
        </w:rPr>
        <w:t>emergent crisis of gendered harm deliberately designed to derail women from leadership in conflict and peacebuilding contexts</w:t>
      </w:r>
      <w:r w:rsidR="00FC7DB3">
        <w:rPr>
          <w:highlight w:val="white"/>
        </w:rPr>
        <w:t>, despite the rhetoric of participation</w:t>
      </w:r>
      <w:r>
        <w:rPr>
          <w:highlight w:val="white"/>
        </w:rPr>
        <w:t>.</w:t>
      </w:r>
      <w:r>
        <w:rPr>
          <w:highlight w:val="white"/>
          <w:vertAlign w:val="superscript"/>
        </w:rPr>
        <w:footnoteReference w:id="6"/>
      </w:r>
      <w:r>
        <w:rPr>
          <w:highlight w:val="white"/>
        </w:rPr>
        <w:t xml:space="preserve"> Unless that issue is addressed, further attempts to advance women’s participation through peace and security may suffer from their own legitimacy crisis. </w:t>
      </w:r>
      <w:r w:rsidR="00556729">
        <w:rPr>
          <w:highlight w:val="white"/>
        </w:rPr>
        <w:t>Broadly, t</w:t>
      </w:r>
      <w:r>
        <w:t>he failure of the UNSC to deliver meaningful progress on implementation of the agenda, and its reductive approach to both participation and protection, raise</w:t>
      </w:r>
      <w:r w:rsidR="00DC7738">
        <w:t>s</w:t>
      </w:r>
      <w:r>
        <w:t xml:space="preserve"> serious questions about the extent to which it is an appropriate forum for the pursuit of women’s rights and gender equality.</w:t>
      </w:r>
      <w:r w:rsidR="00240E11">
        <w:rPr>
          <w:rStyle w:val="FootnoteReference"/>
        </w:rPr>
        <w:footnoteReference w:id="7"/>
      </w:r>
      <w:r w:rsidR="00240E11">
        <w:rPr>
          <w:vertAlign w:val="superscript"/>
        </w:rPr>
        <w:t xml:space="preserve"> </w:t>
      </w:r>
      <w:r w:rsidR="00DC7738">
        <w:t xml:space="preserve"> </w:t>
      </w:r>
      <w:r>
        <w:t xml:space="preserve">While these are valid questions, the </w:t>
      </w:r>
      <w:r>
        <w:rPr>
          <w:highlight w:val="white"/>
        </w:rPr>
        <w:t>UNSC remains a site of</w:t>
      </w:r>
      <w:r w:rsidR="006D611B">
        <w:rPr>
          <w:highlight w:val="white"/>
        </w:rPr>
        <w:t xml:space="preserve">, and basis for, </w:t>
      </w:r>
      <w:r>
        <w:rPr>
          <w:highlight w:val="white"/>
        </w:rPr>
        <w:t>significant inter-state engagement.</w:t>
      </w:r>
      <w:r>
        <w:rPr>
          <w:highlight w:val="white"/>
          <w:vertAlign w:val="superscript"/>
        </w:rPr>
        <w:footnoteReference w:id="8"/>
      </w:r>
      <w:r>
        <w:rPr>
          <w:highlight w:val="white"/>
        </w:rPr>
        <w:t xml:space="preserve"> Its specific mandate and decision-making reach means that it is the foremost body through which women’s rights can be practically advanced across multiple areas of global peace and security intervention.</w:t>
      </w:r>
      <w:r w:rsidR="00240E11">
        <w:rPr>
          <w:rStyle w:val="FootnoteReference"/>
          <w:highlight w:val="white"/>
        </w:rPr>
        <w:footnoteReference w:id="9"/>
      </w:r>
      <w:r>
        <w:rPr>
          <w:highlight w:val="white"/>
        </w:rPr>
        <w:t xml:space="preserve"> There </w:t>
      </w:r>
      <w:r>
        <w:t>remain persuasive reasons not to discount the UNSC altogether, but rather to ask how it might better address the tensions that arise from its approaches to date. Specifically,</w:t>
      </w:r>
      <w:r w:rsidR="006D611B">
        <w:t xml:space="preserve"> analysis is needed to reveal</w:t>
      </w:r>
      <w:r>
        <w:t xml:space="preserve"> how the UNSC might better recognise, and advance, the participation and protection tracks of the WPS agenda in a more integrated fashion.  </w:t>
      </w:r>
    </w:p>
    <w:p w14:paraId="6088CA2A" w14:textId="45FA1C7E" w:rsidR="00E72856" w:rsidRDefault="2FE8927B" w:rsidP="00DC7738">
      <w:pPr>
        <w:spacing w:line="360" w:lineRule="auto"/>
        <w:ind w:firstLine="720"/>
        <w:jc w:val="both"/>
      </w:pPr>
      <w:r>
        <w:t xml:space="preserve">Based on that premise, this paper’s central contribution is to establish and present feminist doctrinal examination and critique of cross-pillar synergies </w:t>
      </w:r>
      <w:r w:rsidRPr="2FE8927B">
        <w:rPr>
          <w:i/>
          <w:iCs/>
        </w:rPr>
        <w:t>within</w:t>
      </w:r>
      <w:r>
        <w:t xml:space="preserve"> thematic resolutions of the UNSC. Specifically, by focusing on thematic interlinkages </w:t>
      </w:r>
      <w:r w:rsidRPr="2FE8927B">
        <w:rPr>
          <w:i/>
          <w:iCs/>
        </w:rPr>
        <w:t>within</w:t>
      </w:r>
      <w:r>
        <w:t xml:space="preserve"> the ten WPS resolutions, the article presents the first textual analysis of the normative relationship between the participation and protection pillars of this agenda. We explore: have the WPS resolutions addressed the inter-relationship between participation and protection to date? And on the basis of findings under that question, what implications arise for the agenda’s future trajectory, whereby the UNSC may attempt to concurrently address protection within its promotion of women’s participation? </w:t>
      </w:r>
      <w:r>
        <w:lastRenderedPageBreak/>
        <w:t xml:space="preserve">Examining these two pillars in relation to one another reveals much about the agenda itself, including its potential to maximise synergies, while avoiding pitfalls that may present in future cross-pillar engagement. The article proceeds from here by first locating </w:t>
      </w:r>
      <w:r w:rsidR="00B35162" w:rsidRPr="00B35162">
        <w:t>the</w:t>
      </w:r>
      <w:r w:rsidR="00B35162">
        <w:t xml:space="preserve"> article’s </w:t>
      </w:r>
      <w:r>
        <w:t>doctrinal inquiry within an analysis of the trajectory of the WPS agenda in the UNSC; and second, within the feminist tradition of scholarly critique of the resolutions. On the basis of a textual analysis explained further below, thematic observations on how participation, protection and their inter-relationship appear in the WPS resolutions, are outlined. This is followed by a discussion of key critical considerations that arise for any future moves by the UNSC to address cross-pillar synergies in the agenda. The article concludes by outlining the potential for future synergies within UN Security Council resolutions more broadly, and in the WPS agenda specifically.</w:t>
      </w:r>
    </w:p>
    <w:p w14:paraId="2292896A" w14:textId="77777777" w:rsidR="00C5551F" w:rsidRDefault="00C5551F" w:rsidP="00C5551F">
      <w:pPr>
        <w:spacing w:line="360" w:lineRule="auto"/>
        <w:ind w:firstLine="720"/>
        <w:jc w:val="both"/>
      </w:pPr>
    </w:p>
    <w:p w14:paraId="0000000C" w14:textId="5E9796B9" w:rsidR="00E77C08" w:rsidRPr="007901D1" w:rsidRDefault="00E72856" w:rsidP="007901D1">
      <w:pPr>
        <w:pStyle w:val="Heading1"/>
        <w:numPr>
          <w:ilvl w:val="0"/>
          <w:numId w:val="5"/>
        </w:numPr>
      </w:pPr>
      <w:r w:rsidRPr="007901D1">
        <w:t xml:space="preserve">LOCATING WPS IN THE </w:t>
      </w:r>
      <w:r w:rsidR="00556729">
        <w:t xml:space="preserve">UN </w:t>
      </w:r>
      <w:r w:rsidRPr="007901D1">
        <w:t>SECURITY COUNCIL</w:t>
      </w:r>
    </w:p>
    <w:p w14:paraId="0000000D" w14:textId="77777777" w:rsidR="00E77C08" w:rsidRDefault="00E77C08">
      <w:pPr>
        <w:spacing w:line="360" w:lineRule="auto"/>
        <w:jc w:val="both"/>
      </w:pPr>
    </w:p>
    <w:p w14:paraId="0000000E" w14:textId="27B924DC" w:rsidR="00E77C08" w:rsidRDefault="2FE8927B">
      <w:pPr>
        <w:spacing w:line="360" w:lineRule="auto"/>
        <w:jc w:val="both"/>
      </w:pPr>
      <w:r>
        <w:t xml:space="preserve">This article presents a feminist doctrinal analysis of the WPS resolutions to both assess and critique the possibility for future action on cross-pillar synergies within the agenda. This section outlines the legal and normative trajectory of the resolutions. It outlines the significance of the parsing of their provisions into further areas of thematic concern </w:t>
      </w:r>
      <w:proofErr w:type="gramStart"/>
      <w:r>
        <w:t>i.e.</w:t>
      </w:r>
      <w:proofErr w:type="gramEnd"/>
      <w:r>
        <w:t xml:space="preserve"> pillars, and presents the rationale for feminist analysis of the pillars of participation and protection within the agenda.</w:t>
      </w:r>
    </w:p>
    <w:p w14:paraId="0000000F" w14:textId="77777777" w:rsidR="00E77C08" w:rsidRDefault="00E77C08">
      <w:pPr>
        <w:spacing w:line="360" w:lineRule="auto"/>
        <w:ind w:left="720"/>
        <w:jc w:val="both"/>
        <w:rPr>
          <w:b/>
        </w:rPr>
      </w:pPr>
    </w:p>
    <w:p w14:paraId="00000010" w14:textId="728423D4" w:rsidR="00E77C08" w:rsidRPr="007901D1" w:rsidRDefault="00C34504" w:rsidP="00C34504">
      <w:pPr>
        <w:pStyle w:val="Heading2"/>
      </w:pPr>
      <w:r w:rsidRPr="007901D1">
        <w:rPr>
          <w:bCs/>
        </w:rPr>
        <w:t>A</w:t>
      </w:r>
      <w:r w:rsidRPr="007901D1">
        <w:t xml:space="preserve">. </w:t>
      </w:r>
      <w:r w:rsidR="008C09A3" w:rsidRPr="007901D1">
        <w:t xml:space="preserve">Norm Development </w:t>
      </w:r>
      <w:r w:rsidRPr="007901D1">
        <w:t>T</w:t>
      </w:r>
      <w:r w:rsidR="008C09A3" w:rsidRPr="007901D1">
        <w:t xml:space="preserve">hrough UNSC </w:t>
      </w:r>
      <w:r w:rsidRPr="007901D1">
        <w:t>R</w:t>
      </w:r>
      <w:r w:rsidR="008C09A3" w:rsidRPr="007901D1">
        <w:t>esolutions</w:t>
      </w:r>
    </w:p>
    <w:p w14:paraId="00000011" w14:textId="77777777" w:rsidR="00E77C08" w:rsidRDefault="00E77C08">
      <w:pPr>
        <w:spacing w:line="360" w:lineRule="auto"/>
        <w:jc w:val="both"/>
      </w:pPr>
    </w:p>
    <w:p w14:paraId="00000012" w14:textId="0BE6810F" w:rsidR="00E77C08" w:rsidRDefault="008C09A3">
      <w:pPr>
        <w:spacing w:line="360" w:lineRule="auto"/>
        <w:jc w:val="both"/>
      </w:pPr>
      <w:r>
        <w:t xml:space="preserve">The adoption of </w:t>
      </w:r>
      <w:r w:rsidR="0086122E">
        <w:t xml:space="preserve">UN Security Council </w:t>
      </w:r>
      <w:r>
        <w:t>Resolution 1325</w:t>
      </w:r>
      <w:r w:rsidR="0086122E">
        <w:t xml:space="preserve"> (UNSCR 1325)</w:t>
      </w:r>
      <w:r>
        <w:t xml:space="preserve"> in 2000 and the subsequent nine WPS resolutions established a role for the UNSC in advancing women’s rights in conflict.</w:t>
      </w:r>
      <w:r>
        <w:rPr>
          <w:vertAlign w:val="superscript"/>
        </w:rPr>
        <w:footnoteReference w:id="10"/>
      </w:r>
      <w:r>
        <w:t xml:space="preserve"> Initial feminist engagement with the Security Council </w:t>
      </w:r>
      <w:r w:rsidR="0014095C">
        <w:t>was</w:t>
      </w:r>
      <w:r>
        <w:t xml:space="preserve"> prompted not only by </w:t>
      </w:r>
      <w:r w:rsidR="0014095C">
        <w:t xml:space="preserve">an interest in </w:t>
      </w:r>
      <w:r>
        <w:t xml:space="preserve">its mandate </w:t>
      </w:r>
      <w:r w:rsidR="0014095C">
        <w:t>in advancing</w:t>
      </w:r>
      <w:r>
        <w:t xml:space="preserve"> decision-making </w:t>
      </w:r>
      <w:r w:rsidR="003227C6">
        <w:t>in</w:t>
      </w:r>
      <w:r>
        <w:t xml:space="preserve"> global peace and security processes, but also by the ‘legitimacy’ this body might lend to feminist aims.</w:t>
      </w:r>
      <w:r>
        <w:rPr>
          <w:vertAlign w:val="superscript"/>
        </w:rPr>
        <w:footnoteReference w:id="11"/>
      </w:r>
      <w:r>
        <w:t xml:space="preserve"> While </w:t>
      </w:r>
      <w:r w:rsidR="0014095C">
        <w:t>valid</w:t>
      </w:r>
      <w:r>
        <w:t xml:space="preserve"> critiques </w:t>
      </w:r>
      <w:r w:rsidR="0014095C">
        <w:t>question</w:t>
      </w:r>
      <w:r>
        <w:t xml:space="preserve"> the UNSC as the </w:t>
      </w:r>
      <w:r w:rsidR="0014095C">
        <w:t xml:space="preserve">appropriate </w:t>
      </w:r>
      <w:r>
        <w:t>forum for norm setting on women’s rights</w:t>
      </w:r>
      <w:r w:rsidR="0014095C">
        <w:t>,</w:t>
      </w:r>
      <w:r>
        <w:t xml:space="preserve"> </w:t>
      </w:r>
      <w:r w:rsidR="0014095C">
        <w:t>as noted above</w:t>
      </w:r>
      <w:r>
        <w:t>,</w:t>
      </w:r>
      <w:r>
        <w:rPr>
          <w:vertAlign w:val="superscript"/>
        </w:rPr>
        <w:footnoteReference w:id="12"/>
      </w:r>
      <w:r>
        <w:t xml:space="preserve"> </w:t>
      </w:r>
      <w:r>
        <w:rPr>
          <w:highlight w:val="white"/>
        </w:rPr>
        <w:t xml:space="preserve">it is important to </w:t>
      </w:r>
      <w:r w:rsidR="0014095C">
        <w:rPr>
          <w:highlight w:val="white"/>
        </w:rPr>
        <w:t xml:space="preserve">also </w:t>
      </w:r>
      <w:r>
        <w:rPr>
          <w:highlight w:val="white"/>
        </w:rPr>
        <w:lastRenderedPageBreak/>
        <w:t xml:space="preserve">recognise </w:t>
      </w:r>
      <w:r w:rsidR="0014095C">
        <w:rPr>
          <w:highlight w:val="white"/>
        </w:rPr>
        <w:t>its significance. D</w:t>
      </w:r>
      <w:r>
        <w:rPr>
          <w:highlight w:val="white"/>
        </w:rPr>
        <w:t xml:space="preserve">espite its imperfections, </w:t>
      </w:r>
      <w:r>
        <w:t xml:space="preserve">the </w:t>
      </w:r>
      <w:proofErr w:type="gramStart"/>
      <w:r>
        <w:t>UNSC,  through</w:t>
      </w:r>
      <w:proofErr w:type="gramEnd"/>
      <w:r>
        <w:t xml:space="preserve"> the WPS resolutions, has driven significant multilateral, </w:t>
      </w:r>
      <w:r>
        <w:rPr>
          <w:highlight w:val="white"/>
        </w:rPr>
        <w:t>UN system and member state activity with regards to women’s rights in conflict.</w:t>
      </w:r>
      <w:r>
        <w:rPr>
          <w:highlight w:val="white"/>
          <w:vertAlign w:val="superscript"/>
        </w:rPr>
        <w:footnoteReference w:id="13"/>
      </w:r>
      <w:r>
        <w:rPr>
          <w:highlight w:val="white"/>
        </w:rPr>
        <w:t xml:space="preserve"> </w:t>
      </w:r>
      <w:r>
        <w:t>The resolutions have established a compelling legal and political framework prompting global engagement with gender, peace and security</w:t>
      </w:r>
      <w:r w:rsidR="003227C6">
        <w:t xml:space="preserve">. </w:t>
      </w:r>
      <w:r>
        <w:t xml:space="preserve">Rightly or wrongly, </w:t>
      </w:r>
      <w:r w:rsidR="003227C6">
        <w:t xml:space="preserve">the UNSC </w:t>
      </w:r>
      <w:r>
        <w:t>predominate</w:t>
      </w:r>
      <w:r w:rsidR="003227C6">
        <w:t>s</w:t>
      </w:r>
      <w:r>
        <w:t xml:space="preserve"> in international efforts to advance those issues. </w:t>
      </w:r>
      <w:r>
        <w:rPr>
          <w:highlight w:val="white"/>
        </w:rPr>
        <w:t>The resolutions began, and remain, the fulcrum of a significant ‘policy ecosystem’</w:t>
      </w:r>
      <w:r>
        <w:rPr>
          <w:highlight w:val="white"/>
          <w:vertAlign w:val="superscript"/>
        </w:rPr>
        <w:footnoteReference w:id="14"/>
      </w:r>
      <w:r>
        <w:rPr>
          <w:highlight w:val="white"/>
        </w:rPr>
        <w:t xml:space="preserve"> that has evolved from them.</w:t>
      </w:r>
    </w:p>
    <w:p w14:paraId="00000015" w14:textId="0CBC65F6" w:rsidR="00E77C08" w:rsidRDefault="008C09A3" w:rsidP="004F6EC2">
      <w:pPr>
        <w:spacing w:line="360" w:lineRule="auto"/>
        <w:ind w:firstLine="720"/>
        <w:jc w:val="both"/>
        <w:rPr>
          <w:vertAlign w:val="superscript"/>
        </w:rPr>
      </w:pPr>
      <w:r>
        <w:t>While there has been significant debate about the legal standing of the WPS resolutions in international law,</w:t>
      </w:r>
      <w:r>
        <w:rPr>
          <w:vertAlign w:val="superscript"/>
        </w:rPr>
        <w:footnoteReference w:id="15"/>
      </w:r>
      <w:r>
        <w:t xml:space="preserve"> it is by now clear that some aspects of the agenda </w:t>
      </w:r>
      <w:r w:rsidR="003227C6">
        <w:t xml:space="preserve">at least, </w:t>
      </w:r>
      <w:r>
        <w:t>have gained normative traction. The resolutions themselves are thematically concerned, adopted under Chapter VI of the UN Charter to address the situation of women in armed conflict.</w:t>
      </w:r>
      <w:r>
        <w:rPr>
          <w:vertAlign w:val="superscript"/>
        </w:rPr>
        <w:footnoteReference w:id="16"/>
      </w:r>
      <w:r>
        <w:t xml:space="preserve"> As such they are often considered </w:t>
      </w:r>
      <w:r w:rsidRPr="2FE8927B">
        <w:rPr>
          <w:i/>
          <w:iCs/>
        </w:rPr>
        <w:t>not</w:t>
      </w:r>
      <w:r>
        <w:t xml:space="preserve"> to have binding legal effect, and consequently</w:t>
      </w:r>
      <w:r w:rsidR="003227C6">
        <w:t>,</w:t>
      </w:r>
      <w:r>
        <w:t xml:space="preserve"> to be subordinate to other political priorities.</w:t>
      </w:r>
      <w:r>
        <w:rPr>
          <w:vertAlign w:val="superscript"/>
        </w:rPr>
        <w:footnoteReference w:id="17"/>
      </w:r>
      <w:r>
        <w:rPr>
          <w:vertAlign w:val="superscript"/>
        </w:rPr>
        <w:t xml:space="preserve"> </w:t>
      </w:r>
      <w:r>
        <w:t xml:space="preserve">However, given that more than twenty years has now elapsed since the adoption of </w:t>
      </w:r>
      <w:r w:rsidR="0086122E">
        <w:t>UNSCR</w:t>
      </w:r>
      <w:r>
        <w:t xml:space="preserve"> 1325, it is no longer possible to argue that the resolutions have no normative effect. Indeed their influence globally flows from their origin in the UNSC and the ways </w:t>
      </w:r>
      <w:r w:rsidR="00D76BF8">
        <w:t>that</w:t>
      </w:r>
      <w:r>
        <w:t xml:space="preserve"> law is developed by and within that forum.</w:t>
      </w:r>
      <w:r>
        <w:rPr>
          <w:vertAlign w:val="superscript"/>
        </w:rPr>
        <w:footnoteReference w:id="18"/>
      </w:r>
      <w:r>
        <w:t xml:space="preserve"> This </w:t>
      </w:r>
      <w:r w:rsidR="00D76BF8">
        <w:t xml:space="preserve">is evident first for </w:t>
      </w:r>
      <w:r>
        <w:t>specific cases</w:t>
      </w:r>
      <w:r w:rsidR="00D76BF8">
        <w:t xml:space="preserve">, </w:t>
      </w:r>
      <w:r>
        <w:t>where</w:t>
      </w:r>
      <w:r w:rsidR="00D76BF8">
        <w:t>, acting pursuant to its international peace and security function,</w:t>
      </w:r>
      <w:r>
        <w:t xml:space="preserve"> the UNSC has mandated action on WPS  </w:t>
      </w:r>
      <w:r w:rsidR="00D76BF8">
        <w:t>through other resolutions and agenda items.</w:t>
      </w:r>
      <w:r>
        <w:rPr>
          <w:vertAlign w:val="superscript"/>
        </w:rPr>
        <w:footnoteReference w:id="19"/>
      </w:r>
      <w:r>
        <w:t xml:space="preserve"> </w:t>
      </w:r>
      <w:r w:rsidR="00D76BF8">
        <w:t>Second, it is evident</w:t>
      </w:r>
      <w:r>
        <w:t xml:space="preserve"> in general </w:t>
      </w:r>
      <w:r w:rsidR="00D76BF8">
        <w:t>terms in the way  the UNSC</w:t>
      </w:r>
      <w:r>
        <w:t xml:space="preserve"> encourages states to implement the WPS resolutions</w:t>
      </w:r>
      <w:r w:rsidR="00D76BF8">
        <w:t xml:space="preserve"> (e.g. through operative provisions of later WPS resolutions</w:t>
      </w:r>
      <w:r w:rsidR="00077C87">
        <w:rPr>
          <w:rStyle w:val="FootnoteReference"/>
        </w:rPr>
        <w:footnoteReference w:id="20"/>
      </w:r>
      <w:r w:rsidR="00D76BF8">
        <w:t>)</w:t>
      </w:r>
      <w:r>
        <w:t xml:space="preserve">, as well as the acceptance over time of the </w:t>
      </w:r>
      <w:r w:rsidR="001A2A3E">
        <w:t xml:space="preserve">implementation </w:t>
      </w:r>
      <w:r>
        <w:t xml:space="preserve">requirements of the agenda by </w:t>
      </w:r>
      <w:r w:rsidR="001A2A3E">
        <w:t xml:space="preserve">member </w:t>
      </w:r>
      <w:r>
        <w:t>states</w:t>
      </w:r>
      <w:r w:rsidR="00D76BF8">
        <w:t xml:space="preserve"> (e.g. by the adoption of national action plans</w:t>
      </w:r>
      <w:r w:rsidR="001A2A3E">
        <w:t xml:space="preserve"> on WPS</w:t>
      </w:r>
      <w:r w:rsidR="00327F03">
        <w:rPr>
          <w:rStyle w:val="FootnoteReference"/>
        </w:rPr>
        <w:footnoteReference w:id="21"/>
      </w:r>
      <w:r w:rsidR="00D76BF8">
        <w:t>)</w:t>
      </w:r>
      <w:r>
        <w:t xml:space="preserve">. As </w:t>
      </w:r>
      <w:proofErr w:type="spellStart"/>
      <w:r>
        <w:t>Chinkin</w:t>
      </w:r>
      <w:proofErr w:type="spellEnd"/>
      <w:r>
        <w:t xml:space="preserve"> </w:t>
      </w:r>
      <w:r>
        <w:lastRenderedPageBreak/>
        <w:t>notes, ‘no other thematic agendas of the Security Council have been so consistently returned to and reinforced’, with later resolutions confirming commitment to the ‘continuing and full implementation’ of earlier resolutions.</w:t>
      </w:r>
      <w:r>
        <w:rPr>
          <w:vertAlign w:val="superscript"/>
        </w:rPr>
        <w:footnoteReference w:id="22"/>
      </w:r>
      <w:r w:rsidR="004F6EC2">
        <w:t xml:space="preserve"> </w:t>
      </w:r>
      <w:r>
        <w:t xml:space="preserve">The extent of this reinforcement has led </w:t>
      </w:r>
      <w:proofErr w:type="spellStart"/>
      <w:r>
        <w:t>Chinkin</w:t>
      </w:r>
      <w:proofErr w:type="spellEnd"/>
      <w:r>
        <w:t xml:space="preserve"> to conclude that while the WPS resolutions themselves may not enjoy binding legal status, some elements of the agenda have achieved the status of customary international law by virtue of the extent of state practice and </w:t>
      </w:r>
      <w:proofErr w:type="spellStart"/>
      <w:r w:rsidRPr="2FE8927B">
        <w:rPr>
          <w:i/>
          <w:iCs/>
        </w:rPr>
        <w:t>opinio</w:t>
      </w:r>
      <w:proofErr w:type="spellEnd"/>
      <w:r w:rsidRPr="2FE8927B">
        <w:rPr>
          <w:i/>
          <w:iCs/>
        </w:rPr>
        <w:t xml:space="preserve"> juris</w:t>
      </w:r>
      <w:r>
        <w:t xml:space="preserve">. Of particular note is the acceptance of a prohibition on discrimination on the basis of sex, </w:t>
      </w:r>
      <w:r w:rsidR="00077C87">
        <w:t xml:space="preserve">promotion of </w:t>
      </w:r>
      <w:r>
        <w:t>equality in international law, and the prohibition of gender based and sexual violence against women.</w:t>
      </w:r>
      <w:r>
        <w:rPr>
          <w:vertAlign w:val="superscript"/>
        </w:rPr>
        <w:footnoteReference w:id="23"/>
      </w:r>
    </w:p>
    <w:p w14:paraId="00000016" w14:textId="20916CD6" w:rsidR="00E77C08" w:rsidRDefault="008C09A3" w:rsidP="00F5569D">
      <w:pPr>
        <w:spacing w:line="360" w:lineRule="auto"/>
        <w:ind w:firstLine="720"/>
        <w:jc w:val="both"/>
        <w:rPr>
          <w:highlight w:val="white"/>
        </w:rPr>
      </w:pPr>
      <w:r>
        <w:t xml:space="preserve">In this </w:t>
      </w:r>
      <w:r w:rsidR="0003628B">
        <w:t>regard,</w:t>
      </w:r>
      <w:r>
        <w:t xml:space="preserve"> the UNSC </w:t>
      </w:r>
      <w:r w:rsidR="0003628B">
        <w:t>can be seen as</w:t>
      </w:r>
      <w:r>
        <w:t xml:space="preserve"> a site of discursive power. It is simultaneously shaped by and shapes global understandings of security and how it is pursued.</w:t>
      </w:r>
      <w:r>
        <w:rPr>
          <w:vertAlign w:val="superscript"/>
        </w:rPr>
        <w:footnoteReference w:id="24"/>
      </w:r>
      <w:r>
        <w:t xml:space="preserve"> Global events influence how resolutions are both framed by the </w:t>
      </w:r>
      <w:r w:rsidR="0003628B">
        <w:t>UNSC</w:t>
      </w:r>
      <w:r>
        <w:t>, and received by its audience of states. As a result</w:t>
      </w:r>
      <w:r w:rsidR="008031DC">
        <w:t>,</w:t>
      </w:r>
      <w:r>
        <w:t xml:space="preserve"> resolutions themselves ‘constitute particular horizons of possibility’</w:t>
      </w:r>
      <w:r>
        <w:rPr>
          <w:vertAlign w:val="superscript"/>
        </w:rPr>
        <w:footnoteReference w:id="25"/>
      </w:r>
      <w:r>
        <w:t xml:space="preserve"> when it comes to advancing the WPS agenda. Shepherd has highlighted how in 1999, prior to the adoption of </w:t>
      </w:r>
      <w:r w:rsidR="0086122E">
        <w:t>UNSCR</w:t>
      </w:r>
      <w:r>
        <w:t xml:space="preserve"> 1325, amidst a period of significant political upheaval and change globally, the UNSC was open to the idea of human security as a new lens through which to frame its work. In 2022</w:t>
      </w:r>
      <w:r w:rsidR="0003628B">
        <w:t>,</w:t>
      </w:r>
      <w:r>
        <w:t xml:space="preserve"> we are witnessing another period of political upheaval not seen since 2000. If the UNSC is a site of discursive power</w:t>
      </w:r>
      <w:r w:rsidR="0003628B">
        <w:t xml:space="preserve"> </w:t>
      </w:r>
      <w:r>
        <w:t xml:space="preserve">whose priorities will shape the future of the WPS agenda for better or worse, it is important to consider how the agenda could evolve in this changed global landscape. In particular, </w:t>
      </w:r>
      <w:r>
        <w:rPr>
          <w:highlight w:val="white"/>
        </w:rPr>
        <w:t xml:space="preserve">if the original feminist aim of gendered peace underpinning the adoption of the WPS agenda is to continue to be pursued, then the language that is exchanged, contested, bartered and eventually agreed upon </w:t>
      </w:r>
      <w:r w:rsidR="000C1D5B">
        <w:rPr>
          <w:highlight w:val="white"/>
        </w:rPr>
        <w:t>through resolutions</w:t>
      </w:r>
      <w:r w:rsidR="00B76AC1">
        <w:rPr>
          <w:highlight w:val="white"/>
        </w:rPr>
        <w:t xml:space="preserve"> (</w:t>
      </w:r>
      <w:r w:rsidR="002835D5">
        <w:rPr>
          <w:highlight w:val="white"/>
        </w:rPr>
        <w:t xml:space="preserve">and that are </w:t>
      </w:r>
      <w:r w:rsidR="00B76AC1">
        <w:rPr>
          <w:highlight w:val="white"/>
        </w:rPr>
        <w:t xml:space="preserve">also </w:t>
      </w:r>
      <w:r w:rsidR="002835D5">
        <w:rPr>
          <w:highlight w:val="white"/>
        </w:rPr>
        <w:t xml:space="preserve">further </w:t>
      </w:r>
      <w:r w:rsidR="000C1D5B">
        <w:rPr>
          <w:highlight w:val="white"/>
        </w:rPr>
        <w:t>appli</w:t>
      </w:r>
      <w:r w:rsidR="002835D5">
        <w:rPr>
          <w:highlight w:val="white"/>
        </w:rPr>
        <w:t>ed</w:t>
      </w:r>
      <w:r w:rsidR="000C1D5B">
        <w:rPr>
          <w:highlight w:val="white"/>
        </w:rPr>
        <w:t xml:space="preserve"> </w:t>
      </w:r>
      <w:r w:rsidR="00B76AC1">
        <w:rPr>
          <w:highlight w:val="white"/>
        </w:rPr>
        <w:t>through</w:t>
      </w:r>
      <w:r w:rsidR="000C1D5B">
        <w:rPr>
          <w:highlight w:val="white"/>
        </w:rPr>
        <w:t xml:space="preserve"> mission mandates, sanctions and broader agenda items</w:t>
      </w:r>
      <w:r w:rsidR="00B76AC1">
        <w:rPr>
          <w:highlight w:val="white"/>
        </w:rPr>
        <w:t>)</w:t>
      </w:r>
      <w:r>
        <w:rPr>
          <w:highlight w:val="white"/>
        </w:rPr>
        <w:t xml:space="preserve"> will continue to matter in advancing women’s </w:t>
      </w:r>
      <w:r w:rsidR="00030656">
        <w:rPr>
          <w:highlight w:val="white"/>
        </w:rPr>
        <w:t>rights</w:t>
      </w:r>
      <w:r>
        <w:rPr>
          <w:highlight w:val="white"/>
        </w:rPr>
        <w:t xml:space="preserve"> in peace and security.</w:t>
      </w:r>
    </w:p>
    <w:p w14:paraId="060901D2" w14:textId="77777777" w:rsidR="0000582E" w:rsidRDefault="0000582E" w:rsidP="00F5569D">
      <w:pPr>
        <w:spacing w:line="360" w:lineRule="auto"/>
        <w:ind w:firstLine="720"/>
        <w:jc w:val="both"/>
        <w:rPr>
          <w:highlight w:val="white"/>
        </w:rPr>
      </w:pPr>
    </w:p>
    <w:p w14:paraId="376B0C41" w14:textId="30640111" w:rsidR="00B637CF" w:rsidRDefault="00B637CF" w:rsidP="00F526BA">
      <w:pPr>
        <w:pStyle w:val="Heading2"/>
        <w:spacing w:after="0" w:line="360" w:lineRule="auto"/>
      </w:pPr>
      <w:r>
        <w:lastRenderedPageBreak/>
        <w:t xml:space="preserve">B. The Significance of </w:t>
      </w:r>
      <w:r w:rsidRPr="00B637CF">
        <w:t>the</w:t>
      </w:r>
      <w:r>
        <w:t xml:space="preserve"> Pillar Structure</w:t>
      </w:r>
    </w:p>
    <w:p w14:paraId="0789ADBD" w14:textId="77777777" w:rsidR="00F526BA" w:rsidRPr="00F526BA" w:rsidRDefault="00F526BA" w:rsidP="00F526BA"/>
    <w:p w14:paraId="4A8BC77C" w14:textId="2E496210" w:rsidR="00B637CF" w:rsidRDefault="00B637CF" w:rsidP="006F42EE">
      <w:pPr>
        <w:spacing w:line="360" w:lineRule="auto"/>
        <w:jc w:val="both"/>
      </w:pPr>
      <w:r>
        <w:t xml:space="preserve">The overarching </w:t>
      </w:r>
      <w:r w:rsidR="00EF15D9">
        <w:t>premise</w:t>
      </w:r>
      <w:r>
        <w:t xml:space="preserve"> of the WPS agenda, to advance gender equality across all areas of peace and security, is characterised by a meta level set of tensions that belies any assumed congruence </w:t>
      </w:r>
      <w:r w:rsidR="000E5334">
        <w:t>across</w:t>
      </w:r>
      <w:r>
        <w:t xml:space="preserve"> </w:t>
      </w:r>
      <w:r w:rsidR="006F42EE">
        <w:t xml:space="preserve">the </w:t>
      </w:r>
      <w:r w:rsidR="003750C6">
        <w:t xml:space="preserve">vast </w:t>
      </w:r>
      <w:r w:rsidR="006F42EE">
        <w:t xml:space="preserve">range of operative provisions that make up the ten resolutions. </w:t>
      </w:r>
      <w:r w:rsidR="00775346">
        <w:t>Over time, a</w:t>
      </w:r>
      <w:r w:rsidR="006F42EE">
        <w:t xml:space="preserve"> </w:t>
      </w:r>
      <w:r>
        <w:t>four</w:t>
      </w:r>
      <w:r w:rsidR="00415315">
        <w:t>-part</w:t>
      </w:r>
      <w:r>
        <w:t xml:space="preserve"> ‘pillar’ </w:t>
      </w:r>
      <w:r w:rsidR="006F42EE">
        <w:t>structure</w:t>
      </w:r>
      <w:r>
        <w:t xml:space="preserve"> </w:t>
      </w:r>
      <w:r w:rsidR="006F42EE">
        <w:t>evolved</w:t>
      </w:r>
      <w:r w:rsidR="00415315">
        <w:t xml:space="preserve"> </w:t>
      </w:r>
      <w:r w:rsidR="004F6EC2">
        <w:t>in an attempt</w:t>
      </w:r>
      <w:r w:rsidR="00AA39FB">
        <w:rPr>
          <w:highlight w:val="white"/>
        </w:rPr>
        <w:t xml:space="preserve"> to </w:t>
      </w:r>
      <w:r w:rsidR="00775346">
        <w:rPr>
          <w:highlight w:val="white"/>
        </w:rPr>
        <w:t>arrange</w:t>
      </w:r>
      <w:r w:rsidR="00AA39FB">
        <w:rPr>
          <w:highlight w:val="white"/>
        </w:rPr>
        <w:t xml:space="preserve"> and represent </w:t>
      </w:r>
      <w:r w:rsidR="00775346">
        <w:rPr>
          <w:highlight w:val="white"/>
        </w:rPr>
        <w:t xml:space="preserve">its </w:t>
      </w:r>
      <w:r w:rsidR="003750C6">
        <w:rPr>
          <w:highlight w:val="white"/>
        </w:rPr>
        <w:t xml:space="preserve">myriad </w:t>
      </w:r>
      <w:r w:rsidR="00775346">
        <w:rPr>
          <w:highlight w:val="white"/>
        </w:rPr>
        <w:t xml:space="preserve">provisions under a set of broader </w:t>
      </w:r>
      <w:r w:rsidR="00AA39FB">
        <w:rPr>
          <w:highlight w:val="white"/>
        </w:rPr>
        <w:t xml:space="preserve">strategic </w:t>
      </w:r>
      <w:r w:rsidR="00775346">
        <w:rPr>
          <w:highlight w:val="white"/>
        </w:rPr>
        <w:t xml:space="preserve">and </w:t>
      </w:r>
      <w:r w:rsidR="00AA39FB">
        <w:rPr>
          <w:highlight w:val="white"/>
        </w:rPr>
        <w:t>over-arching priori</w:t>
      </w:r>
      <w:r w:rsidR="003750C6">
        <w:rPr>
          <w:highlight w:val="white"/>
        </w:rPr>
        <w:t>t</w:t>
      </w:r>
      <w:r w:rsidR="00775346">
        <w:rPr>
          <w:highlight w:val="white"/>
        </w:rPr>
        <w:t xml:space="preserve">y areas. </w:t>
      </w:r>
      <w:r w:rsidR="003750C6">
        <w:rPr>
          <w:highlight w:val="white"/>
        </w:rPr>
        <w:t>While t</w:t>
      </w:r>
      <w:r w:rsidR="00AA39FB">
        <w:rPr>
          <w:highlight w:val="white"/>
        </w:rPr>
        <w:t>he</w:t>
      </w:r>
      <w:r w:rsidR="00D9536E">
        <w:rPr>
          <w:highlight w:val="white"/>
        </w:rPr>
        <w:t xml:space="preserve">re is some variance </w:t>
      </w:r>
      <w:r w:rsidR="00FB2869">
        <w:rPr>
          <w:highlight w:val="white"/>
        </w:rPr>
        <w:t>in</w:t>
      </w:r>
      <w:r w:rsidR="00D9536E">
        <w:rPr>
          <w:highlight w:val="white"/>
        </w:rPr>
        <w:t xml:space="preserve"> how some policy actors represent the </w:t>
      </w:r>
      <w:r w:rsidR="003750C6">
        <w:rPr>
          <w:highlight w:val="white"/>
        </w:rPr>
        <w:t>pillars</w:t>
      </w:r>
      <w:r w:rsidR="00D9536E">
        <w:rPr>
          <w:highlight w:val="white"/>
        </w:rPr>
        <w:t>, here</w:t>
      </w:r>
      <w:r w:rsidR="00FB2869">
        <w:rPr>
          <w:highlight w:val="white"/>
        </w:rPr>
        <w:t>, according with its use in the UN</w:t>
      </w:r>
      <w:r w:rsidR="00D9536E">
        <w:rPr>
          <w:highlight w:val="white"/>
        </w:rPr>
        <w:t xml:space="preserve"> </w:t>
      </w:r>
      <w:r w:rsidR="00FB2869">
        <w:rPr>
          <w:highlight w:val="white"/>
        </w:rPr>
        <w:t xml:space="preserve">system, </w:t>
      </w:r>
      <w:r w:rsidR="00D9536E">
        <w:rPr>
          <w:highlight w:val="white"/>
        </w:rPr>
        <w:t xml:space="preserve">they are </w:t>
      </w:r>
      <w:proofErr w:type="gramStart"/>
      <w:r w:rsidR="00D9536E">
        <w:rPr>
          <w:highlight w:val="white"/>
        </w:rPr>
        <w:t>defined  as</w:t>
      </w:r>
      <w:proofErr w:type="gramEnd"/>
      <w:r w:rsidR="00D9536E">
        <w:rPr>
          <w:highlight w:val="white"/>
        </w:rPr>
        <w:t xml:space="preserve"> follows: </w:t>
      </w:r>
      <w:r w:rsidR="00AA39FB">
        <w:rPr>
          <w:highlight w:val="white"/>
        </w:rPr>
        <w:t xml:space="preserve">women’s </w:t>
      </w:r>
      <w:r w:rsidR="00AA39FB" w:rsidRPr="2FE8927B">
        <w:rPr>
          <w:i/>
          <w:iCs/>
          <w:highlight w:val="white"/>
        </w:rPr>
        <w:t>participation</w:t>
      </w:r>
      <w:r w:rsidR="00AA39FB">
        <w:rPr>
          <w:highlight w:val="white"/>
        </w:rPr>
        <w:t xml:space="preserve"> in peace and security governance;</w:t>
      </w:r>
      <w:r w:rsidR="009907AC">
        <w:rPr>
          <w:highlight w:val="white"/>
        </w:rPr>
        <w:t xml:space="preserve"> gendered approaches to t</w:t>
      </w:r>
      <w:r w:rsidR="00AA39FB">
        <w:rPr>
          <w:highlight w:val="white"/>
        </w:rPr>
        <w:t xml:space="preserve">he </w:t>
      </w:r>
      <w:r w:rsidR="00AA39FB" w:rsidRPr="2FE8927B">
        <w:rPr>
          <w:i/>
          <w:iCs/>
          <w:highlight w:val="white"/>
        </w:rPr>
        <w:t>prevention</w:t>
      </w:r>
      <w:r w:rsidR="00AA39FB">
        <w:rPr>
          <w:highlight w:val="white"/>
        </w:rPr>
        <w:t xml:space="preserve"> of conflict; </w:t>
      </w:r>
      <w:r w:rsidR="009907AC">
        <w:rPr>
          <w:highlight w:val="white"/>
        </w:rPr>
        <w:t xml:space="preserve">the </w:t>
      </w:r>
      <w:r w:rsidR="00AA39FB" w:rsidRPr="2FE8927B">
        <w:rPr>
          <w:i/>
          <w:iCs/>
          <w:highlight w:val="white"/>
        </w:rPr>
        <w:t>protection</w:t>
      </w:r>
      <w:r w:rsidR="00AA39FB">
        <w:rPr>
          <w:highlight w:val="white"/>
        </w:rPr>
        <w:t xml:space="preserve"> of women from gender-based violence; and gender mainstreaming </w:t>
      </w:r>
      <w:r w:rsidR="009907AC">
        <w:rPr>
          <w:highlight w:val="white"/>
        </w:rPr>
        <w:t>across</w:t>
      </w:r>
      <w:r w:rsidR="00AA39FB">
        <w:rPr>
          <w:highlight w:val="white"/>
        </w:rPr>
        <w:t xml:space="preserve"> </w:t>
      </w:r>
      <w:r w:rsidR="00AA39FB" w:rsidRPr="2FE8927B">
        <w:rPr>
          <w:i/>
          <w:iCs/>
          <w:highlight w:val="white"/>
        </w:rPr>
        <w:t xml:space="preserve">relief and rehabilitation measures. </w:t>
      </w:r>
      <w:r w:rsidR="00AA39FB">
        <w:t>The pillar structure was adopted with</w:t>
      </w:r>
      <w:r w:rsidR="00415315">
        <w:t xml:space="preserve"> the intention of improving the </w:t>
      </w:r>
      <w:r w:rsidR="0000582E">
        <w:t xml:space="preserve">overall </w:t>
      </w:r>
      <w:r w:rsidR="00415315">
        <w:t>coherence of the agenda</w:t>
      </w:r>
      <w:r w:rsidR="0000582E">
        <w:t xml:space="preserve"> and the</w:t>
      </w:r>
      <w:r w:rsidR="00415315">
        <w:t xml:space="preserve"> fragmented </w:t>
      </w:r>
      <w:r w:rsidR="0000582E">
        <w:t xml:space="preserve">way its </w:t>
      </w:r>
      <w:r w:rsidR="001D0027">
        <w:t>various provisions</w:t>
      </w:r>
      <w:r w:rsidR="0000582E">
        <w:t xml:space="preserve"> had been advanced</w:t>
      </w:r>
      <w:r w:rsidR="00415315">
        <w:t>.</w:t>
      </w:r>
      <w:r w:rsidR="00415315" w:rsidRPr="000E5334">
        <w:rPr>
          <w:highlight w:val="white"/>
        </w:rPr>
        <w:t xml:space="preserve"> </w:t>
      </w:r>
      <w:r>
        <w:t>While the pillar structure largely reflects the historical trajectory of women’s rights activism,</w:t>
      </w:r>
      <w:r>
        <w:rPr>
          <w:vertAlign w:val="superscript"/>
        </w:rPr>
        <w:footnoteReference w:id="26"/>
      </w:r>
      <w:r>
        <w:t xml:space="preserve"> </w:t>
      </w:r>
      <w:r w:rsidR="000E5334">
        <w:t>i</w:t>
      </w:r>
      <w:r>
        <w:t xml:space="preserve">t was formally adopted </w:t>
      </w:r>
      <w:r w:rsidR="00415315">
        <w:t>through</w:t>
      </w:r>
      <w:r>
        <w:t xml:space="preserve"> the UN System Wide Action Plan on Security Council Resolution 1325 on Women Peace and Security</w:t>
      </w:r>
      <w:r w:rsidR="005531A5">
        <w:t xml:space="preserve"> in 2010. It was then</w:t>
      </w:r>
      <w:r>
        <w:t xml:space="preserve"> further consolidated through its inclusion in the Secretary General’s Report on Women Peace and Security </w:t>
      </w:r>
      <w:r w:rsidR="005531A5">
        <w:t xml:space="preserve">presented </w:t>
      </w:r>
      <w:r w:rsidR="00AC3722">
        <w:t>that year</w:t>
      </w:r>
      <w:r w:rsidR="00AA39FB">
        <w:t xml:space="preserve"> </w:t>
      </w:r>
      <w:r w:rsidR="005531A5">
        <w:t>to the UNSC</w:t>
      </w:r>
      <w:r>
        <w:t>.</w:t>
      </w:r>
      <w:r w:rsidR="009A5825" w:rsidRPr="009A5825">
        <w:rPr>
          <w:rStyle w:val="FootnoteReference"/>
        </w:rPr>
        <w:t xml:space="preserve"> </w:t>
      </w:r>
      <w:r w:rsidR="009A5825">
        <w:rPr>
          <w:rStyle w:val="FootnoteReference"/>
        </w:rPr>
        <w:footnoteReference w:id="27"/>
      </w:r>
      <w:r>
        <w:t xml:space="preserve"> </w:t>
      </w:r>
      <w:r w:rsidR="00E218DC" w:rsidRPr="2FE8927B">
        <w:rPr>
          <w:highlight w:val="white"/>
        </w:rPr>
        <w:t xml:space="preserve">Assessed collectively through these pillars, it is evident that the </w:t>
      </w:r>
      <w:r w:rsidR="0000582E" w:rsidRPr="2FE8927B">
        <w:rPr>
          <w:highlight w:val="white"/>
        </w:rPr>
        <w:t xml:space="preserve">ambitions of the </w:t>
      </w:r>
      <w:r w:rsidR="00E218DC" w:rsidRPr="2FE8927B">
        <w:rPr>
          <w:highlight w:val="white"/>
        </w:rPr>
        <w:t xml:space="preserve">WPS </w:t>
      </w:r>
      <w:r w:rsidR="0000582E" w:rsidRPr="2FE8927B">
        <w:rPr>
          <w:highlight w:val="white"/>
        </w:rPr>
        <w:t xml:space="preserve">resolutions </w:t>
      </w:r>
      <w:r w:rsidR="00E218DC" w:rsidRPr="2FE8927B">
        <w:rPr>
          <w:highlight w:val="white"/>
        </w:rPr>
        <w:t xml:space="preserve">extend across </w:t>
      </w:r>
      <w:r w:rsidR="00E218DC">
        <w:rPr>
          <w:highlight w:val="white"/>
        </w:rPr>
        <w:t>the</w:t>
      </w:r>
      <w:r w:rsidR="000E5334">
        <w:rPr>
          <w:highlight w:val="white"/>
        </w:rPr>
        <w:t xml:space="preserve"> full </w:t>
      </w:r>
      <w:r w:rsidR="00E218DC">
        <w:rPr>
          <w:highlight w:val="white"/>
        </w:rPr>
        <w:t>breadth</w:t>
      </w:r>
      <w:r w:rsidR="000E5334">
        <w:rPr>
          <w:highlight w:val="white"/>
        </w:rPr>
        <w:t xml:space="preserve"> of </w:t>
      </w:r>
      <w:r w:rsidR="00547A41">
        <w:rPr>
          <w:highlight w:val="white"/>
        </w:rPr>
        <w:t xml:space="preserve">global </w:t>
      </w:r>
      <w:r w:rsidR="000E5334">
        <w:rPr>
          <w:highlight w:val="white"/>
        </w:rPr>
        <w:t>peace and security legal, policy and operative systems.</w:t>
      </w:r>
    </w:p>
    <w:p w14:paraId="6F70CDAA" w14:textId="56B10573" w:rsidR="00B637CF" w:rsidRDefault="00AC3722" w:rsidP="00ED0F19">
      <w:pPr>
        <w:spacing w:line="360" w:lineRule="auto"/>
        <w:ind w:firstLine="720"/>
        <w:jc w:val="both"/>
      </w:pPr>
      <w:r>
        <w:t>Within</w:t>
      </w:r>
      <w:r w:rsidR="00B637CF">
        <w:t xml:space="preserve"> the schemata of pillars, the </w:t>
      </w:r>
      <w:r w:rsidR="00B637CF" w:rsidRPr="2FE8927B">
        <w:rPr>
          <w:i/>
          <w:iCs/>
        </w:rPr>
        <w:t xml:space="preserve">prevention </w:t>
      </w:r>
      <w:r w:rsidR="00B637CF">
        <w:t xml:space="preserve">of armed conflict and gender responsive </w:t>
      </w:r>
      <w:r w:rsidR="00B637CF" w:rsidRPr="2FE8927B">
        <w:rPr>
          <w:i/>
          <w:iCs/>
        </w:rPr>
        <w:t>relief &amp; recovery</w:t>
      </w:r>
      <w:r w:rsidR="00B637CF">
        <w:t xml:space="preserve"> pillars </w:t>
      </w:r>
      <w:r w:rsidR="007A14F1">
        <w:t>have become</w:t>
      </w:r>
      <w:r w:rsidR="00B637CF">
        <w:t xml:space="preserve"> largely subsumed by </w:t>
      </w:r>
      <w:r w:rsidR="002C63C4">
        <w:t xml:space="preserve">attention to </w:t>
      </w:r>
      <w:r w:rsidR="00B637CF">
        <w:t xml:space="preserve">the </w:t>
      </w:r>
      <w:r w:rsidR="00B637CF" w:rsidRPr="2FE8927B">
        <w:rPr>
          <w:i/>
          <w:iCs/>
        </w:rPr>
        <w:t>participation</w:t>
      </w:r>
      <w:r w:rsidR="00B637CF">
        <w:t xml:space="preserve"> and </w:t>
      </w:r>
      <w:r w:rsidR="00B637CF" w:rsidRPr="2FE8927B">
        <w:rPr>
          <w:i/>
          <w:iCs/>
        </w:rPr>
        <w:t>protection</w:t>
      </w:r>
      <w:r w:rsidR="00B637CF">
        <w:t xml:space="preserve"> pillars</w:t>
      </w:r>
      <w:r w:rsidR="002C63C4">
        <w:t xml:space="preserve">. The latter two </w:t>
      </w:r>
      <w:r w:rsidR="00B637CF">
        <w:t>have</w:t>
      </w:r>
      <w:r w:rsidR="004F6EC2">
        <w:t xml:space="preserve"> </w:t>
      </w:r>
      <w:r w:rsidR="00B637CF">
        <w:rPr>
          <w:highlight w:val="white"/>
        </w:rPr>
        <w:t xml:space="preserve">become the </w:t>
      </w:r>
      <w:proofErr w:type="spellStart"/>
      <w:r w:rsidR="00B637CF">
        <w:rPr>
          <w:highlight w:val="white"/>
        </w:rPr>
        <w:t>locus</w:t>
      </w:r>
      <w:proofErr w:type="spellEnd"/>
      <w:r w:rsidR="00B637CF">
        <w:rPr>
          <w:highlight w:val="white"/>
        </w:rPr>
        <w:t xml:space="preserve"> of much of the </w:t>
      </w:r>
      <w:r w:rsidR="002C63C4">
        <w:rPr>
          <w:highlight w:val="white"/>
        </w:rPr>
        <w:t xml:space="preserve">political rhetoric and operative </w:t>
      </w:r>
      <w:r w:rsidR="00B637CF">
        <w:rPr>
          <w:highlight w:val="white"/>
        </w:rPr>
        <w:t xml:space="preserve">activity emerging </w:t>
      </w:r>
      <w:r w:rsidR="002C63C4">
        <w:rPr>
          <w:highlight w:val="white"/>
        </w:rPr>
        <w:t xml:space="preserve">as a result </w:t>
      </w:r>
      <w:r w:rsidR="00DF4B00">
        <w:rPr>
          <w:highlight w:val="white"/>
        </w:rPr>
        <w:t>of the agenda</w:t>
      </w:r>
      <w:r w:rsidR="00B637CF">
        <w:rPr>
          <w:highlight w:val="white"/>
        </w:rPr>
        <w:t>.</w:t>
      </w:r>
      <w:r w:rsidR="00B637CF">
        <w:rPr>
          <w:highlight w:val="white"/>
          <w:vertAlign w:val="superscript"/>
        </w:rPr>
        <w:footnoteReference w:id="28"/>
      </w:r>
      <w:r w:rsidR="00B637CF">
        <w:rPr>
          <w:highlight w:val="white"/>
        </w:rPr>
        <w:t xml:space="preserve"> </w:t>
      </w:r>
      <w:r w:rsidR="00ED0F19">
        <w:rPr>
          <w:highlight w:val="white"/>
        </w:rPr>
        <w:t>While t</w:t>
      </w:r>
      <w:r w:rsidR="00ED0F19" w:rsidRPr="00ED0F19">
        <w:rPr>
          <w:highlight w:val="white"/>
        </w:rPr>
        <w:t>he ten WPS resolutions are estimated to contain 2,500 specific commitments across 210 ‘operational paragraphs’ (OPs)</w:t>
      </w:r>
      <w:r w:rsidR="00ED0F19">
        <w:rPr>
          <w:highlight w:val="white"/>
        </w:rPr>
        <w:t>,</w:t>
      </w:r>
      <w:r w:rsidR="00ED0F19">
        <w:rPr>
          <w:rStyle w:val="FootnoteReference"/>
          <w:highlight w:val="white"/>
        </w:rPr>
        <w:footnoteReference w:id="29"/>
      </w:r>
      <w:r w:rsidR="00ED0F19" w:rsidRPr="00ED0F19">
        <w:rPr>
          <w:highlight w:val="white"/>
        </w:rPr>
        <w:t xml:space="preserve"> </w:t>
      </w:r>
      <w:r w:rsidR="00ED0F19">
        <w:rPr>
          <w:highlight w:val="white"/>
        </w:rPr>
        <w:t xml:space="preserve">provisions relating to </w:t>
      </w:r>
      <w:r w:rsidR="00ED0F19" w:rsidRPr="00ED0F19">
        <w:rPr>
          <w:highlight w:val="white"/>
        </w:rPr>
        <w:t>participation and protection have been consistently addressed and have featured in each resolution over the agenda’s twenty-year-plus trajectory. They are the most visible and most readily associated concerns related to the agenda.</w:t>
      </w:r>
      <w:r w:rsidR="00ED0F19">
        <w:rPr>
          <w:highlight w:val="white"/>
        </w:rPr>
        <w:t xml:space="preserve"> </w:t>
      </w:r>
      <w:r w:rsidR="00DF4B00">
        <w:rPr>
          <w:highlight w:val="white"/>
        </w:rPr>
        <w:t>A</w:t>
      </w:r>
      <w:r w:rsidR="00B637CF">
        <w:rPr>
          <w:highlight w:val="white"/>
        </w:rPr>
        <w:t xml:space="preserve">ctivity across each of the four pillars has </w:t>
      </w:r>
      <w:r w:rsidR="00ED0F19">
        <w:rPr>
          <w:highlight w:val="white"/>
        </w:rPr>
        <w:lastRenderedPageBreak/>
        <w:t xml:space="preserve">thereby </w:t>
      </w:r>
      <w:r w:rsidR="00B637CF">
        <w:rPr>
          <w:highlight w:val="white"/>
        </w:rPr>
        <w:t>been unevenly spread since the agenda’s adoption</w:t>
      </w:r>
      <w:r w:rsidR="00DF4B00">
        <w:rPr>
          <w:highlight w:val="white"/>
        </w:rPr>
        <w:t xml:space="preserve">. Further, </w:t>
      </w:r>
      <w:r w:rsidR="00B637CF">
        <w:rPr>
          <w:highlight w:val="white"/>
        </w:rPr>
        <w:t xml:space="preserve">limitations have characterised how each of </w:t>
      </w:r>
      <w:r w:rsidR="00227D0E">
        <w:rPr>
          <w:highlight w:val="white"/>
        </w:rPr>
        <w:t>those two</w:t>
      </w:r>
      <w:r w:rsidR="00B637CF">
        <w:rPr>
          <w:highlight w:val="white"/>
        </w:rPr>
        <w:t xml:space="preserve"> pillars ha</w:t>
      </w:r>
      <w:r w:rsidR="0018787F">
        <w:rPr>
          <w:highlight w:val="white"/>
        </w:rPr>
        <w:t>ve evolved</w:t>
      </w:r>
      <w:r w:rsidR="00B637CF">
        <w:rPr>
          <w:highlight w:val="white"/>
        </w:rPr>
        <w:t xml:space="preserve"> individually. For example, participation </w:t>
      </w:r>
      <w:r w:rsidR="00DF4B00">
        <w:rPr>
          <w:highlight w:val="white"/>
        </w:rPr>
        <w:t xml:space="preserve">under the agenda is </w:t>
      </w:r>
      <w:r w:rsidR="00B637CF">
        <w:rPr>
          <w:highlight w:val="white"/>
        </w:rPr>
        <w:t>critic</w:t>
      </w:r>
      <w:r w:rsidR="00DF4B00">
        <w:rPr>
          <w:highlight w:val="white"/>
        </w:rPr>
        <w:t xml:space="preserve">ised because of </w:t>
      </w:r>
      <w:r w:rsidR="00BB65C5">
        <w:rPr>
          <w:highlight w:val="white"/>
        </w:rPr>
        <w:t xml:space="preserve">the limitations that have evolved on </w:t>
      </w:r>
      <w:r w:rsidR="00DF4B00">
        <w:rPr>
          <w:highlight w:val="white"/>
        </w:rPr>
        <w:t>‘</w:t>
      </w:r>
      <w:r w:rsidR="00B637CF">
        <w:rPr>
          <w:highlight w:val="white"/>
        </w:rPr>
        <w:t>who</w:t>
      </w:r>
      <w:r w:rsidR="00DF4B00">
        <w:rPr>
          <w:highlight w:val="white"/>
        </w:rPr>
        <w:t>’</w:t>
      </w:r>
      <w:r w:rsidR="00B637CF">
        <w:rPr>
          <w:highlight w:val="white"/>
        </w:rPr>
        <w:t xml:space="preserve"> becomes identified as the ‘participants’ promoted </w:t>
      </w:r>
      <w:r w:rsidR="00DF4B00">
        <w:rPr>
          <w:highlight w:val="white"/>
        </w:rPr>
        <w:t>under</w:t>
      </w:r>
      <w:r w:rsidR="00B637CF">
        <w:rPr>
          <w:highlight w:val="white"/>
        </w:rPr>
        <w:t xml:space="preserve"> this agenda</w:t>
      </w:r>
      <w:r w:rsidR="00DF4B00">
        <w:rPr>
          <w:highlight w:val="white"/>
        </w:rPr>
        <w:t>.</w:t>
      </w:r>
      <w:r w:rsidR="00B637CF">
        <w:rPr>
          <w:highlight w:val="white"/>
          <w:vertAlign w:val="superscript"/>
        </w:rPr>
        <w:footnoteReference w:id="30"/>
      </w:r>
      <w:r w:rsidR="00B637CF">
        <w:rPr>
          <w:highlight w:val="white"/>
        </w:rPr>
        <w:t xml:space="preserve"> </w:t>
      </w:r>
      <w:r w:rsidR="00DF4B00">
        <w:rPr>
          <w:highlight w:val="white"/>
        </w:rPr>
        <w:t>R</w:t>
      </w:r>
      <w:r w:rsidR="00B637CF">
        <w:rPr>
          <w:highlight w:val="white"/>
        </w:rPr>
        <w:t xml:space="preserve">eductive parameters applied to protection have </w:t>
      </w:r>
      <w:r w:rsidR="00BB65C5">
        <w:rPr>
          <w:highlight w:val="white"/>
        </w:rPr>
        <w:t xml:space="preserve">also evolved, </w:t>
      </w:r>
      <w:r w:rsidR="00B637CF">
        <w:rPr>
          <w:highlight w:val="white"/>
        </w:rPr>
        <w:t>reinforc</w:t>
      </w:r>
      <w:r w:rsidR="00BB65C5">
        <w:rPr>
          <w:highlight w:val="white"/>
        </w:rPr>
        <w:t>ing</w:t>
      </w:r>
      <w:r w:rsidR="00B637CF">
        <w:rPr>
          <w:highlight w:val="white"/>
        </w:rPr>
        <w:t xml:space="preserve"> sexualised and racialised ideas of where and how women’s protection rights emerge in conflict-affected contexts.</w:t>
      </w:r>
      <w:r w:rsidR="00B637CF">
        <w:rPr>
          <w:highlight w:val="white"/>
          <w:vertAlign w:val="superscript"/>
        </w:rPr>
        <w:footnoteReference w:id="31"/>
      </w:r>
    </w:p>
    <w:p w14:paraId="558EE8FE" w14:textId="4166A0B9" w:rsidR="00B637CF" w:rsidRDefault="0086122E" w:rsidP="00F5569D">
      <w:pPr>
        <w:spacing w:line="360" w:lineRule="auto"/>
        <w:ind w:firstLine="720"/>
        <w:jc w:val="both"/>
      </w:pPr>
      <w:r>
        <w:t>The pillars of</w:t>
      </w:r>
      <w:r w:rsidR="00B637CF">
        <w:t xml:space="preserve"> women’s </w:t>
      </w:r>
      <w:r w:rsidR="00B637CF" w:rsidRPr="2FE8927B">
        <w:rPr>
          <w:i/>
          <w:iCs/>
        </w:rPr>
        <w:t>participation</w:t>
      </w:r>
      <w:r w:rsidR="00B637CF">
        <w:t xml:space="preserve"> and </w:t>
      </w:r>
      <w:r w:rsidR="00B637CF" w:rsidRPr="2FE8927B">
        <w:rPr>
          <w:i/>
          <w:iCs/>
        </w:rPr>
        <w:t>protection</w:t>
      </w:r>
      <w:r w:rsidR="00B637CF">
        <w:t xml:space="preserve"> have become the focus of much of </w:t>
      </w:r>
      <w:r>
        <w:t>the agenda’s</w:t>
      </w:r>
      <w:r w:rsidR="00B637CF">
        <w:t xml:space="preserve"> evolving legal, normative and applied outputs. The agenda’s founding resolution</w:t>
      </w:r>
      <w:r>
        <w:t>, UNSCR</w:t>
      </w:r>
      <w:r w:rsidR="00B637CF">
        <w:t xml:space="preserve"> 1325 committed the UNSC to increase the participation of women in the ‘prevention, management and resolution of conflict’.</w:t>
      </w:r>
      <w:r w:rsidR="00B637CF">
        <w:rPr>
          <w:vertAlign w:val="superscript"/>
        </w:rPr>
        <w:footnoteReference w:id="32"/>
      </w:r>
      <w:r w:rsidR="00B637CF">
        <w:t xml:space="preserve"> The follow-up resolution, </w:t>
      </w:r>
      <w:r>
        <w:t>UN Security Council Resolution 1820 (</w:t>
      </w:r>
      <w:r w:rsidR="00B637CF">
        <w:t>UNSCR 1820</w:t>
      </w:r>
      <w:r>
        <w:t>)</w:t>
      </w:r>
      <w:r w:rsidR="00B637CF">
        <w:t xml:space="preserve"> established clear parameters for the UNSC in the protection of civilians with regard to women’s rights, namely their protection from sexual violence </w:t>
      </w:r>
      <w:r w:rsidR="00AC3722">
        <w:t>‘</w:t>
      </w:r>
      <w:r w:rsidR="00B637CF">
        <w:t>when used or commissioned as a tactic of war</w:t>
      </w:r>
      <w:r w:rsidR="00AC3722">
        <w:t>’</w:t>
      </w:r>
      <w:r w:rsidR="00B637CF">
        <w:t>.</w:t>
      </w:r>
      <w:r w:rsidR="00B637CF">
        <w:rPr>
          <w:vertAlign w:val="superscript"/>
        </w:rPr>
        <w:footnoteReference w:id="33"/>
      </w:r>
      <w:r w:rsidR="00B637CF">
        <w:t xml:space="preserve"> As participation and protection have evolved</w:t>
      </w:r>
      <w:r w:rsidR="007E474E">
        <w:t xml:space="preserve"> out of, and</w:t>
      </w:r>
      <w:r w:rsidR="00B637CF">
        <w:t xml:space="preserve"> to some degree broadened</w:t>
      </w:r>
      <w:r w:rsidR="007E474E">
        <w:t>,</w:t>
      </w:r>
      <w:r w:rsidR="00B637CF">
        <w:t xml:space="preserve"> </w:t>
      </w:r>
      <w:r w:rsidR="00EA4AA7">
        <w:t>from</w:t>
      </w:r>
      <w:r w:rsidR="00B637CF">
        <w:t xml:space="preserve"> those </w:t>
      </w:r>
      <w:r w:rsidR="004407FF">
        <w:t xml:space="preserve">original </w:t>
      </w:r>
      <w:r w:rsidR="00B637CF">
        <w:t xml:space="preserve">foundational legal and normative precepts, critics have also identified that the WPS agenda </w:t>
      </w:r>
      <w:r w:rsidR="007E474E">
        <w:t xml:space="preserve">as a result, </w:t>
      </w:r>
      <w:r w:rsidR="00EA4AA7">
        <w:t xml:space="preserve">has </w:t>
      </w:r>
      <w:r w:rsidR="00B637CF">
        <w:t xml:space="preserve">advanced a </w:t>
      </w:r>
      <w:r w:rsidR="00AC3722">
        <w:t>‘</w:t>
      </w:r>
      <w:r w:rsidR="00B637CF">
        <w:t>dichotomy between victimhood and its imagined opposite, agency</w:t>
      </w:r>
      <w:r w:rsidR="00AC3722">
        <w:t>’</w:t>
      </w:r>
      <w:r w:rsidR="00B637CF">
        <w:t>.</w:t>
      </w:r>
      <w:r w:rsidR="00B637CF">
        <w:rPr>
          <w:vertAlign w:val="superscript"/>
        </w:rPr>
        <w:footnoteReference w:id="34"/>
      </w:r>
      <w:r w:rsidR="00B637CF">
        <w:t xml:space="preserve"> </w:t>
      </w:r>
    </w:p>
    <w:p w14:paraId="0319488D" w14:textId="6B5F103A" w:rsidR="00BB3683" w:rsidRPr="00BB3683" w:rsidRDefault="00B637CF" w:rsidP="00BB3683">
      <w:pPr>
        <w:spacing w:line="360" w:lineRule="auto"/>
        <w:ind w:firstLine="720"/>
        <w:jc w:val="both"/>
      </w:pPr>
      <w:r>
        <w:t xml:space="preserve">There has in fact been significant effort by UN system actors to counter-balance the </w:t>
      </w:r>
      <w:r w:rsidR="005C6704">
        <w:t>evolving</w:t>
      </w:r>
      <w:r>
        <w:t xml:space="preserve"> set of </w:t>
      </w:r>
      <w:r w:rsidR="005C6704">
        <w:t xml:space="preserve">ten WPS </w:t>
      </w:r>
      <w:r>
        <w:t xml:space="preserve">resolutions along </w:t>
      </w:r>
      <w:r w:rsidR="00A26D4C">
        <w:t>‘</w:t>
      </w:r>
      <w:r>
        <w:t>agency</w:t>
      </w:r>
      <w:r w:rsidR="00A26D4C">
        <w:t>’</w:t>
      </w:r>
      <w:r>
        <w:t xml:space="preserve"> and </w:t>
      </w:r>
      <w:r w:rsidR="00A26D4C">
        <w:t>‘</w:t>
      </w:r>
      <w:r>
        <w:t>victimhood</w:t>
      </w:r>
      <w:r w:rsidR="00A26D4C">
        <w:t>’</w:t>
      </w:r>
      <w:r>
        <w:t xml:space="preserve"> trajectories</w:t>
      </w:r>
      <w:r w:rsidR="00A26D4C">
        <w:t xml:space="preserve">. As a result, it </w:t>
      </w:r>
      <w:r>
        <w:t>is now generally accepted that there are five ‘participation’ and five ‘protection’ resolutions</w:t>
      </w:r>
      <w:r w:rsidR="004407FF">
        <w:t xml:space="preserve"> – a further meta-framing </w:t>
      </w:r>
      <w:r w:rsidR="00671624">
        <w:t>subsuming</w:t>
      </w:r>
      <w:r w:rsidR="004407FF">
        <w:t xml:space="preserve"> the </w:t>
      </w:r>
      <w:r w:rsidR="00A26D4C">
        <w:t xml:space="preserve">ten </w:t>
      </w:r>
      <w:r w:rsidR="0018787F">
        <w:t>resolutions</w:t>
      </w:r>
      <w:r w:rsidR="00A26D4C">
        <w:t xml:space="preserve"> and their four pillars</w:t>
      </w:r>
      <w:r>
        <w:t>.</w:t>
      </w:r>
      <w:r>
        <w:rPr>
          <w:vertAlign w:val="superscript"/>
        </w:rPr>
        <w:footnoteReference w:id="35"/>
      </w:r>
      <w:r>
        <w:t xml:space="preserve"> Th</w:t>
      </w:r>
      <w:r w:rsidR="00A26D4C">
        <w:t>ese trends have</w:t>
      </w:r>
      <w:r>
        <w:t xml:space="preserve"> begun to prompt institutional recognition that</w:t>
      </w:r>
      <w:r w:rsidR="00A26D4C">
        <w:t>,</w:t>
      </w:r>
      <w:r>
        <w:t xml:space="preserve"> while both participation and protection each historically required their own substantive normative </w:t>
      </w:r>
      <w:r w:rsidR="00115DF4">
        <w:t xml:space="preserve">inception and </w:t>
      </w:r>
      <w:r>
        <w:t xml:space="preserve">expansion, the </w:t>
      </w:r>
      <w:r w:rsidR="00A26D4C">
        <w:t xml:space="preserve">continuing </w:t>
      </w:r>
      <w:r>
        <w:t xml:space="preserve">treatment of each as separate legal concerns along parallel tracks has neglected the </w:t>
      </w:r>
      <w:r w:rsidR="00115DF4">
        <w:t xml:space="preserve">normative and </w:t>
      </w:r>
      <w:r>
        <w:t xml:space="preserve">empirical realities of </w:t>
      </w:r>
      <w:r w:rsidR="00115DF4">
        <w:t xml:space="preserve">how </w:t>
      </w:r>
      <w:r>
        <w:t xml:space="preserve">protection risks arise directly  from to women’s participation. The UN’s </w:t>
      </w:r>
      <w:r>
        <w:lastRenderedPageBreak/>
        <w:t>Human Rights regime has, for example, as far back as 2004, 2010 and more recently in 2019, identified the risks, threats and killings of human rights defenders (HRDs) in conflict and peacebuilding settings</w:t>
      </w:r>
      <w:r w:rsidR="00A26D4C">
        <w:t xml:space="preserve">. This has </w:t>
      </w:r>
      <w:r>
        <w:t>includ</w:t>
      </w:r>
      <w:r w:rsidR="00A26D4C">
        <w:t>ed making visible t</w:t>
      </w:r>
      <w:r>
        <w:t xml:space="preserve">he </w:t>
      </w:r>
      <w:r w:rsidR="00671624">
        <w:t xml:space="preserve">specific </w:t>
      </w:r>
      <w:r>
        <w:t>gendered risks and harms that arise for women</w:t>
      </w:r>
      <w:r w:rsidR="00A26D4C">
        <w:t xml:space="preserve"> in such roles</w:t>
      </w:r>
      <w:r>
        <w:t>.</w:t>
      </w:r>
      <w:r>
        <w:rPr>
          <w:vertAlign w:val="superscript"/>
        </w:rPr>
        <w:footnoteReference w:id="36"/>
      </w:r>
      <w:r>
        <w:t xml:space="preserve"> The UN Secretary-General’s 2019 WPS </w:t>
      </w:r>
      <w:r w:rsidR="00671624">
        <w:t xml:space="preserve">annual </w:t>
      </w:r>
      <w:r>
        <w:t>report highlighted the need for protection of civic space for women’s organisations, peacebuilders and HRDs</w:t>
      </w:r>
      <w:r w:rsidR="005F0A3D">
        <w:t xml:space="preserve">. It called </w:t>
      </w:r>
      <w:r>
        <w:t xml:space="preserve">for attention to the rise in </w:t>
      </w:r>
      <w:r w:rsidR="00671624">
        <w:t>‘</w:t>
      </w:r>
      <w:r>
        <w:t>misogynistic, sexist and homophobic speech by political leaders</w:t>
      </w:r>
      <w:r w:rsidR="00671624">
        <w:t>’</w:t>
      </w:r>
      <w:r>
        <w:t xml:space="preserve"> and </w:t>
      </w:r>
      <w:r w:rsidR="005F0A3D">
        <w:t xml:space="preserve">that </w:t>
      </w:r>
      <w:r>
        <w:t xml:space="preserve">the harassment in digital spaces directed at women in </w:t>
      </w:r>
      <w:r w:rsidR="00671624">
        <w:t>public</w:t>
      </w:r>
      <w:r>
        <w:t xml:space="preserve"> roles</w:t>
      </w:r>
      <w:r w:rsidR="009A510E">
        <w:t xml:space="preserve"> be addressed</w:t>
      </w:r>
      <w:r>
        <w:t>.</w:t>
      </w:r>
      <w:r>
        <w:rPr>
          <w:vertAlign w:val="superscript"/>
        </w:rPr>
        <w:footnoteReference w:id="37"/>
      </w:r>
      <w:r w:rsidR="00BB3683">
        <w:t xml:space="preserve"> The 2021 </w:t>
      </w:r>
      <w:r w:rsidR="009A510E">
        <w:t xml:space="preserve">WPS </w:t>
      </w:r>
      <w:r w:rsidR="00BB3683">
        <w:t xml:space="preserve">report </w:t>
      </w:r>
      <w:r w:rsidR="00322405">
        <w:t xml:space="preserve">recognised the range of risks related to women’s participation and </w:t>
      </w:r>
      <w:r w:rsidR="00BB3683">
        <w:t>called on m</w:t>
      </w:r>
      <w:r w:rsidR="00BB3683" w:rsidRPr="00BB3683">
        <w:t xml:space="preserve">ember </w:t>
      </w:r>
      <w:r w:rsidR="00BB3683">
        <w:t>s</w:t>
      </w:r>
      <w:r w:rsidR="00BB3683" w:rsidRPr="00BB3683">
        <w:t xml:space="preserve">tates </w:t>
      </w:r>
      <w:r w:rsidR="00BB3683">
        <w:t>to ‘</w:t>
      </w:r>
      <w:r w:rsidR="00BB3683" w:rsidRPr="00BB3683">
        <w:t>take comprehensive measures to ensure women can equally and safely exercise their civil and political rights</w:t>
      </w:r>
      <w:r w:rsidR="00BB3683">
        <w:t>’</w:t>
      </w:r>
      <w:r w:rsidR="00BB3683" w:rsidRPr="00BB3683">
        <w:t>.</w:t>
      </w:r>
      <w:r w:rsidR="00BB3683">
        <w:rPr>
          <w:rStyle w:val="FootnoteReference"/>
        </w:rPr>
        <w:footnoteReference w:id="38"/>
      </w:r>
    </w:p>
    <w:p w14:paraId="7A4002CA" w14:textId="23754AB6" w:rsidR="000726B3" w:rsidRDefault="00B637CF" w:rsidP="000455D1">
      <w:pPr>
        <w:spacing w:line="360" w:lineRule="auto"/>
        <w:ind w:firstLine="720"/>
        <w:jc w:val="both"/>
      </w:pPr>
      <w:r>
        <w:t xml:space="preserve">The trajectory of </w:t>
      </w:r>
      <w:r w:rsidR="003E161A">
        <w:t xml:space="preserve">the </w:t>
      </w:r>
      <w:r>
        <w:t xml:space="preserve">WPS </w:t>
      </w:r>
      <w:r w:rsidR="003E161A">
        <w:t xml:space="preserve">agenda </w:t>
      </w:r>
      <w:r>
        <w:t xml:space="preserve">along a two-part and binarized </w:t>
      </w:r>
      <w:r w:rsidR="00E01249">
        <w:t xml:space="preserve">set of </w:t>
      </w:r>
      <w:r>
        <w:t xml:space="preserve">participation </w:t>
      </w:r>
      <w:r w:rsidRPr="2FE8927B">
        <w:rPr>
          <w:i/>
          <w:iCs/>
        </w:rPr>
        <w:t>or</w:t>
      </w:r>
      <w:r>
        <w:t xml:space="preserve"> protection </w:t>
      </w:r>
      <w:r w:rsidR="00E01249">
        <w:t>tracks</w:t>
      </w:r>
      <w:r>
        <w:t xml:space="preserve"> alerts us to the ‘metanarrative’ upon which ideas of women’s rights are both constructed and essentialised in this agenda.</w:t>
      </w:r>
      <w:r>
        <w:rPr>
          <w:vertAlign w:val="superscript"/>
        </w:rPr>
        <w:footnoteReference w:id="39"/>
      </w:r>
      <w:r>
        <w:t xml:space="preserve"> </w:t>
      </w:r>
      <w:r w:rsidR="003E161A">
        <w:t>To date, it has</w:t>
      </w:r>
      <w:r>
        <w:t xml:space="preserve"> reli</w:t>
      </w:r>
      <w:r w:rsidR="003E161A">
        <w:t>ed</w:t>
      </w:r>
      <w:r>
        <w:t xml:space="preserve"> on </w:t>
      </w:r>
      <w:r w:rsidR="003E161A">
        <w:t>and become constructed around an</w:t>
      </w:r>
      <w:r>
        <w:t xml:space="preserve"> agent-victim binarized narrative</w:t>
      </w:r>
      <w:r w:rsidR="003E161A">
        <w:t xml:space="preserve">, </w:t>
      </w:r>
      <w:proofErr w:type="gramStart"/>
      <w:r w:rsidR="003E161A">
        <w:t>i.e.</w:t>
      </w:r>
      <w:proofErr w:type="gramEnd"/>
      <w:r w:rsidR="009F5980">
        <w:t xml:space="preserve"> its provisions situate women either as agentic actors of instrumental use to peace and security processes, or as victims</w:t>
      </w:r>
      <w:r w:rsidR="000455D1">
        <w:t xml:space="preserve">, in need of </w:t>
      </w:r>
      <w:r w:rsidR="009F5980">
        <w:t>paternalist protection.</w:t>
      </w:r>
      <w:r w:rsidR="000455D1">
        <w:t xml:space="preserve"> This binary, seemingly seductive to member states,</w:t>
      </w:r>
      <w:r>
        <w:t xml:space="preserve"> erases recognition of the differentiated ways that </w:t>
      </w:r>
      <w:r w:rsidR="000455D1">
        <w:t xml:space="preserve">diverse </w:t>
      </w:r>
      <w:r>
        <w:t>women may access or enjoy rights like participation</w:t>
      </w:r>
      <w:r w:rsidR="000455D1">
        <w:t xml:space="preserve">. Further, it elides the role that </w:t>
      </w:r>
      <w:r>
        <w:t xml:space="preserve">gender norms and inequalities </w:t>
      </w:r>
      <w:r w:rsidR="000455D1">
        <w:t>have in</w:t>
      </w:r>
      <w:r>
        <w:t xml:space="preserve"> mediat</w:t>
      </w:r>
      <w:r w:rsidR="000455D1">
        <w:t>ing</w:t>
      </w:r>
      <w:r>
        <w:t xml:space="preserve"> the quality </w:t>
      </w:r>
      <w:r w:rsidR="000455D1">
        <w:t xml:space="preserve">and safety </w:t>
      </w:r>
      <w:r>
        <w:t xml:space="preserve">of that participation. There is growing recognition that if the WPS agenda does not address the </w:t>
      </w:r>
      <w:r w:rsidR="00E01249">
        <w:t>consequences of its development along distinctive ‘tracks’ and engage on the</w:t>
      </w:r>
      <w:r w:rsidR="00115DF4">
        <w:t xml:space="preserve"> inter-</w:t>
      </w:r>
      <w:r>
        <w:t>relationship</w:t>
      </w:r>
      <w:r w:rsidR="000455D1">
        <w:t xml:space="preserve"> between its thematic pillars</w:t>
      </w:r>
      <w:r>
        <w:t xml:space="preserve">, </w:t>
      </w:r>
      <w:r w:rsidR="00E01249">
        <w:t>the</w:t>
      </w:r>
      <w:r w:rsidR="00115DF4">
        <w:t>n that</w:t>
      </w:r>
      <w:r w:rsidR="00E01249">
        <w:t xml:space="preserve"> </w:t>
      </w:r>
      <w:r>
        <w:t xml:space="preserve">false binary </w:t>
      </w:r>
      <w:r w:rsidR="00E01249">
        <w:t xml:space="preserve">of </w:t>
      </w:r>
      <w:r w:rsidR="00115DF4">
        <w:t>distinctively imagined</w:t>
      </w:r>
      <w:r w:rsidR="00FF7897">
        <w:t xml:space="preserve"> </w:t>
      </w:r>
      <w:r w:rsidR="00E01249">
        <w:t xml:space="preserve">agentic </w:t>
      </w:r>
      <w:r w:rsidR="00115DF4" w:rsidRPr="2FE8927B">
        <w:rPr>
          <w:i/>
          <w:iCs/>
        </w:rPr>
        <w:t>or</w:t>
      </w:r>
      <w:r w:rsidR="00E01249">
        <w:t xml:space="preserve"> victimised women</w:t>
      </w:r>
      <w:r w:rsidR="000455D1">
        <w:t>,</w:t>
      </w:r>
      <w:r w:rsidR="00E01249">
        <w:t xml:space="preserve"> will </w:t>
      </w:r>
      <w:r>
        <w:t>be perpetuated</w:t>
      </w:r>
      <w:r w:rsidR="007E58C9">
        <w:t xml:space="preserve">. </w:t>
      </w:r>
      <w:r w:rsidR="000455D1">
        <w:t xml:space="preserve">This false </w:t>
      </w:r>
      <w:r w:rsidR="0019614D">
        <w:t>dichotomy</w:t>
      </w:r>
      <w:r w:rsidR="007E58C9">
        <w:t xml:space="preserve"> will continue to </w:t>
      </w:r>
      <w:r w:rsidR="00630592">
        <w:t>stym</w:t>
      </w:r>
      <w:r w:rsidR="005C48FE">
        <w:t>y</w:t>
      </w:r>
      <w:r w:rsidR="00630592">
        <w:t xml:space="preserve"> t</w:t>
      </w:r>
      <w:r w:rsidR="00115DF4">
        <w:t>he</w:t>
      </w:r>
      <w:r w:rsidR="000726B3">
        <w:t xml:space="preserve"> potential of the agenda to bring </w:t>
      </w:r>
      <w:r w:rsidR="00630592">
        <w:t xml:space="preserve">about </w:t>
      </w:r>
      <w:r w:rsidR="007E58C9">
        <w:t xml:space="preserve">the kind of </w:t>
      </w:r>
      <w:r w:rsidR="000726B3" w:rsidRPr="2FE8927B">
        <w:rPr>
          <w:i/>
          <w:iCs/>
        </w:rPr>
        <w:t>substantive</w:t>
      </w:r>
      <w:r w:rsidR="000726B3">
        <w:t xml:space="preserve"> </w:t>
      </w:r>
      <w:r w:rsidR="00115DF4">
        <w:t xml:space="preserve">and </w:t>
      </w:r>
      <w:r w:rsidR="00115DF4" w:rsidRPr="2FE8927B">
        <w:rPr>
          <w:i/>
          <w:iCs/>
        </w:rPr>
        <w:t>transformative</w:t>
      </w:r>
      <w:r w:rsidR="00115DF4">
        <w:t xml:space="preserve"> </w:t>
      </w:r>
      <w:r w:rsidR="00FE791F">
        <w:t xml:space="preserve">change </w:t>
      </w:r>
      <w:r w:rsidR="007E58C9">
        <w:t>imagined by the promotion of women’s participation under this agenda</w:t>
      </w:r>
      <w:r w:rsidR="000455D1">
        <w:t xml:space="preserve"> if not addressed.</w:t>
      </w:r>
    </w:p>
    <w:p w14:paraId="1E715338" w14:textId="77777777" w:rsidR="00B637CF" w:rsidRDefault="00B637CF" w:rsidP="00F5569D">
      <w:pPr>
        <w:spacing w:line="360" w:lineRule="auto"/>
        <w:ind w:firstLine="720"/>
        <w:jc w:val="both"/>
        <w:rPr>
          <w:b/>
        </w:rPr>
      </w:pPr>
    </w:p>
    <w:p w14:paraId="7C925FDC" w14:textId="0E0CBB71" w:rsidR="00B637CF" w:rsidRDefault="00B637CF" w:rsidP="00F5569D">
      <w:pPr>
        <w:pStyle w:val="Heading2"/>
        <w:spacing w:after="0" w:line="360" w:lineRule="auto"/>
      </w:pPr>
      <w:bookmarkStart w:id="0" w:name="_prprxs9rec0u" w:colFirst="0" w:colLast="0"/>
      <w:bookmarkEnd w:id="0"/>
      <w:r>
        <w:t>C. Why</w:t>
      </w:r>
      <w:r w:rsidR="003C3279">
        <w:t xml:space="preserve"> </w:t>
      </w:r>
      <w:r>
        <w:t>Participation and Protection?</w:t>
      </w:r>
    </w:p>
    <w:p w14:paraId="3A82F489" w14:textId="77777777" w:rsidR="00772661" w:rsidRPr="00772661" w:rsidRDefault="00772661" w:rsidP="00772661"/>
    <w:p w14:paraId="167476EE" w14:textId="0CB423C1" w:rsidR="00B637CF" w:rsidRDefault="2FE8927B" w:rsidP="00F5569D">
      <w:pPr>
        <w:spacing w:line="360" w:lineRule="auto"/>
        <w:jc w:val="both"/>
      </w:pPr>
      <w:r>
        <w:lastRenderedPageBreak/>
        <w:t xml:space="preserve">Participation and protection are each, respectively, significant areas of legal and normative concerns for the fulfilment of women’s rights. Women’s lives however, and their experiences of conflict and peacebuilding, are not lived through mutually exclusive prisms of rights entitlements, or indeed rights violations. The structuring of women’s lived experience, their claims to rights entitlements and positionality with respect to risk, vulnerability and safety, are mediated through intersecting systems of oppression along sexist, racist and </w:t>
      </w:r>
      <w:proofErr w:type="gramStart"/>
      <w:r>
        <w:t>other  lines</w:t>
      </w:r>
      <w:proofErr w:type="gramEnd"/>
      <w:r>
        <w:t xml:space="preserve"> of discrimination. It is therefore not the case that th</w:t>
      </w:r>
      <w:r w:rsidRPr="2FE8927B">
        <w:t xml:space="preserve">e </w:t>
      </w:r>
      <w:r w:rsidRPr="009A0839">
        <w:t>promotion</w:t>
      </w:r>
      <w:r>
        <w:t xml:space="preserve"> of women’s participation can be advanced in isolation from related concerns across the three remaining pillars of the WPS agenda, such as protection from gendered violence. It is the case however that, while participation and protection may each have initially required their own substantive normative expansion, their continuing treatment as separate distinctive legal concerns neglects the empirical realities of how protection risks arise directly in relation to women’s participation. Now that there has been (partial) success in the normative development of participation and protection respectively, it is timely for a turn to the inter-relationship that is also implied across the distinctive pillars or tracks.</w:t>
      </w:r>
    </w:p>
    <w:p w14:paraId="0B1C14CC" w14:textId="77777777" w:rsidR="00D21B05" w:rsidRDefault="00B637CF" w:rsidP="008A7FAA">
      <w:pPr>
        <w:spacing w:line="360" w:lineRule="auto"/>
        <w:ind w:firstLine="720"/>
        <w:jc w:val="both"/>
      </w:pPr>
      <w:r>
        <w:t xml:space="preserve">  </w:t>
      </w:r>
      <w:r w:rsidR="006103E1">
        <w:t>T</w:t>
      </w:r>
      <w:r>
        <w:t xml:space="preserve">he UNSC has begun to formally </w:t>
      </w:r>
      <w:r w:rsidR="006103E1">
        <w:t>recognise this. It</w:t>
      </w:r>
      <w:r w:rsidR="00052AEB">
        <w:t xml:space="preserve">s </w:t>
      </w:r>
      <w:r w:rsidR="006103E1">
        <w:t xml:space="preserve">latter two WPS resolutions </w:t>
      </w:r>
      <w:r w:rsidR="00052AEB">
        <w:t>have</w:t>
      </w:r>
      <w:r w:rsidR="006103E1">
        <w:t xml:space="preserve"> </w:t>
      </w:r>
      <w:r>
        <w:t>engage</w:t>
      </w:r>
      <w:r w:rsidR="006103E1">
        <w:t>d</w:t>
      </w:r>
      <w:r>
        <w:t xml:space="preserve"> on the relationship between women’s participation and related protection concerns. For example, </w:t>
      </w:r>
      <w:r w:rsidR="00F402D0">
        <w:t>UN Security Council resolution 2467 (</w:t>
      </w:r>
      <w:r>
        <w:t>UNSCR 2467</w:t>
      </w:r>
      <w:r w:rsidR="00F402D0">
        <w:t>)</w:t>
      </w:r>
      <w:r w:rsidR="006103E1">
        <w:t>, the ninth WPS resolution</w:t>
      </w:r>
      <w:r>
        <w:t xml:space="preserve"> </w:t>
      </w:r>
      <w:r w:rsidR="006103E1">
        <w:t xml:space="preserve">adopted in 2019 </w:t>
      </w:r>
      <w:r w:rsidR="00F402D0">
        <w:t xml:space="preserve">(ostensibly a ‘protection’ resolution) </w:t>
      </w:r>
      <w:r>
        <w:t xml:space="preserve">states that </w:t>
      </w:r>
      <w:r w:rsidR="0033202E">
        <w:t>‘</w:t>
      </w:r>
      <w:r>
        <w:t>women’s protection and participation are inextricably linked and mutually-reinforcing</w:t>
      </w:r>
      <w:r w:rsidR="006103E1">
        <w:t>.</w:t>
      </w:r>
      <w:r w:rsidR="0033202E">
        <w:t>’</w:t>
      </w:r>
      <w:r w:rsidR="00F402D0">
        <w:rPr>
          <w:rStyle w:val="FootnoteReference"/>
        </w:rPr>
        <w:footnoteReference w:id="40"/>
      </w:r>
      <w:r w:rsidR="006103E1">
        <w:t xml:space="preserve"> </w:t>
      </w:r>
      <w:r w:rsidR="00F402D0">
        <w:t>UN Security Council resolution 2493 (</w:t>
      </w:r>
      <w:r>
        <w:t>UNSCR 2493</w:t>
      </w:r>
      <w:r w:rsidR="00F402D0">
        <w:t>)</w:t>
      </w:r>
      <w:r>
        <w:t xml:space="preserve"> </w:t>
      </w:r>
      <w:r w:rsidR="006103E1">
        <w:t>adopted later that same year (</w:t>
      </w:r>
      <w:r w:rsidR="00F402D0">
        <w:t>in response as counter-balancing</w:t>
      </w:r>
      <w:r w:rsidR="006103E1">
        <w:t xml:space="preserve"> ‘participation’ resolution) </w:t>
      </w:r>
      <w:r>
        <w:t xml:space="preserve">encourages the creation of </w:t>
      </w:r>
      <w:r w:rsidR="0033202E">
        <w:t>‘</w:t>
      </w:r>
      <w:r>
        <w:t>safe and enabling environments</w:t>
      </w:r>
      <w:r w:rsidR="0033202E">
        <w:t>’</w:t>
      </w:r>
      <w:r>
        <w:t xml:space="preserve"> to mitigate risks to women </w:t>
      </w:r>
      <w:r w:rsidR="006103E1">
        <w:t>in leadership</w:t>
      </w:r>
      <w:r>
        <w:t xml:space="preserve"> across a range of areas.</w:t>
      </w:r>
      <w:r w:rsidR="00F402D0">
        <w:rPr>
          <w:rStyle w:val="FootnoteReference"/>
        </w:rPr>
        <w:footnoteReference w:id="41"/>
      </w:r>
      <w:r w:rsidR="006979B9">
        <w:t xml:space="preserve"> </w:t>
      </w:r>
      <w:r w:rsidR="00BB3683">
        <w:t>An open debate dedicated to ‘</w:t>
      </w:r>
      <w:r w:rsidR="00BB3683" w:rsidRPr="00630A00">
        <w:t>Protecting participation: addressing violence targeting women in peace and security processes</w:t>
      </w:r>
      <w:r w:rsidR="00BB3683">
        <w:t>’</w:t>
      </w:r>
      <w:r w:rsidR="00BB3683">
        <w:rPr>
          <w:rStyle w:val="FootnoteReference"/>
        </w:rPr>
        <w:footnoteReference w:id="42"/>
      </w:r>
      <w:r w:rsidR="00BB3683">
        <w:t xml:space="preserve"> in 2022 focused on the latter provision of UNSCR 2493, with the aim of encouraging states to ‘gather and share recommendations’ for how to prevent protection risks and promote safe and enabling environments for </w:t>
      </w:r>
      <w:r w:rsidR="00F47AA1">
        <w:t xml:space="preserve">women’s </w:t>
      </w:r>
      <w:r w:rsidR="00BB3683">
        <w:t>participation.</w:t>
      </w:r>
      <w:r w:rsidR="00BB3683">
        <w:rPr>
          <w:rStyle w:val="FootnoteReference"/>
        </w:rPr>
        <w:footnoteReference w:id="43"/>
      </w:r>
      <w:r w:rsidR="008A7FAA">
        <w:t xml:space="preserve">  </w:t>
      </w:r>
    </w:p>
    <w:p w14:paraId="11524BA1" w14:textId="5AC0ADDA" w:rsidR="00630A00" w:rsidRPr="001535B3" w:rsidRDefault="2FE8927B" w:rsidP="008A7FAA">
      <w:pPr>
        <w:spacing w:line="360" w:lineRule="auto"/>
        <w:ind w:firstLine="720"/>
        <w:jc w:val="both"/>
      </w:pPr>
      <w:r>
        <w:lastRenderedPageBreak/>
        <w:t xml:space="preserve">These are significant discursive, symbolic, political and operative moves in respect of a UNSC thematic agenda. They signal recognition of the inter-relationship between its </w:t>
      </w:r>
      <w:proofErr w:type="gramStart"/>
      <w:r>
        <w:t>principle</w:t>
      </w:r>
      <w:proofErr w:type="gramEnd"/>
      <w:r>
        <w:t xml:space="preserve"> areas of concern under WPS, including, arguably, </w:t>
      </w:r>
      <w:r w:rsidR="0097316A">
        <w:t xml:space="preserve">the potential to be realised in </w:t>
      </w:r>
      <w:r>
        <w:t xml:space="preserve">applying that idea </w:t>
      </w:r>
      <w:r w:rsidR="0097316A">
        <w:t>across its</w:t>
      </w:r>
      <w:r>
        <w:t xml:space="preserve"> open debates, outcome documents, the work of committees, mission mandates and other thematic agenda items. </w:t>
      </w:r>
    </w:p>
    <w:p w14:paraId="3F1EE5C1" w14:textId="3C305D2F" w:rsidR="003C3279" w:rsidRDefault="008A7FAA" w:rsidP="003C3279">
      <w:pPr>
        <w:spacing w:line="360" w:lineRule="auto"/>
        <w:ind w:firstLine="720"/>
        <w:jc w:val="both"/>
      </w:pPr>
      <w:r>
        <w:t xml:space="preserve">Since the inception of the WPS agenda feminists have identified both opportunities and pitfalls that accompany </w:t>
      </w:r>
      <w:r w:rsidR="00B46A29">
        <w:t>these resolutions</w:t>
      </w:r>
      <w:r>
        <w:t>.</w:t>
      </w:r>
      <w:r>
        <w:rPr>
          <w:rStyle w:val="FootnoteReference"/>
        </w:rPr>
        <w:footnoteReference w:id="44"/>
      </w:r>
      <w:r>
        <w:t xml:space="preserve"> While the</w:t>
      </w:r>
      <w:r w:rsidR="003C3279">
        <w:t>se</w:t>
      </w:r>
      <w:r>
        <w:t xml:space="preserve"> recent developments are significant</w:t>
      </w:r>
      <w:r w:rsidR="008D0C6A">
        <w:t xml:space="preserve"> and are a positive sign</w:t>
      </w:r>
      <w:r>
        <w:t xml:space="preserve">, feminist scrutiny of moves like these by the UNSC is </w:t>
      </w:r>
      <w:r w:rsidR="003C3279">
        <w:t xml:space="preserve">once again </w:t>
      </w:r>
      <w:r>
        <w:t xml:space="preserve">needed. </w:t>
      </w:r>
      <w:r w:rsidR="00177A10">
        <w:t>I</w:t>
      </w:r>
      <w:r w:rsidR="008D0C6A">
        <w:t xml:space="preserve">t </w:t>
      </w:r>
      <w:r w:rsidR="003C3279">
        <w:t xml:space="preserve">may not be as simple as merely connecting the two pillars of participation and </w:t>
      </w:r>
      <w:proofErr w:type="gramStart"/>
      <w:r w:rsidR="003C3279">
        <w:t>protection</w:t>
      </w:r>
      <w:r w:rsidR="00D46C97">
        <w:t xml:space="preserve"> </w:t>
      </w:r>
      <w:r w:rsidR="003C3279">
        <w:t>.</w:t>
      </w:r>
      <w:proofErr w:type="gramEnd"/>
      <w:r w:rsidR="003C3279">
        <w:t xml:space="preserve"> </w:t>
      </w:r>
      <w:r w:rsidR="008D0C6A">
        <w:t>T</w:t>
      </w:r>
      <w:r w:rsidR="003C3279">
        <w:t>his assertion is where this paper offers its significant contribution: if the UNSC is in fact to advance cross-pillar synergies within its own thematic resolutions, what might the direction of travel on those synergies offer? Given their trajectory along largely distinctive tracks</w:t>
      </w:r>
      <w:r w:rsidR="00177A10">
        <w:t xml:space="preserve"> to date</w:t>
      </w:r>
      <w:r w:rsidR="003C3279">
        <w:t>, what risks are present in bringing together women’s agency with women’s victimisation? Can the binarized approach</w:t>
      </w:r>
      <w:r w:rsidR="008D0C6A">
        <w:t xml:space="preserve"> </w:t>
      </w:r>
      <w:r w:rsidR="003C3279">
        <w:t xml:space="preserve">be overcome without significant costs to advancing a more fulsome understanding of the complexity of women’s rights in conflict and peacebuilding? And if protection related to women’s participation is advanced, would efforts become consumed with </w:t>
      </w:r>
      <w:r w:rsidR="008D0C6A">
        <w:t>‘</w:t>
      </w:r>
      <w:r w:rsidR="003C3279">
        <w:t>protecting women, rather than protecting their rights</w:t>
      </w:r>
      <w:r w:rsidR="008D0C6A">
        <w:t>’</w:t>
      </w:r>
      <w:r w:rsidR="007A013D">
        <w:rPr>
          <w:rStyle w:val="FootnoteReference"/>
        </w:rPr>
        <w:footnoteReference w:id="45"/>
      </w:r>
      <w:r w:rsidR="003C3279">
        <w:t xml:space="preserve">? </w:t>
      </w:r>
      <w:r w:rsidR="00B637CF">
        <w:t xml:space="preserve">There is a real risk that if the UNSC does engage the inter-relationship between participation and protection, it may further entrench an essentialized </w:t>
      </w:r>
      <w:r w:rsidR="008D0C6A">
        <w:t>‘</w:t>
      </w:r>
      <w:r w:rsidR="00B637CF">
        <w:t>universal subject</w:t>
      </w:r>
      <w:r w:rsidR="008D0C6A">
        <w:t>’</w:t>
      </w:r>
      <w:r w:rsidR="007A013D">
        <w:rPr>
          <w:rStyle w:val="FootnoteReference"/>
        </w:rPr>
        <w:footnoteReference w:id="46"/>
      </w:r>
      <w:r w:rsidR="00B637CF">
        <w:t xml:space="preserve"> of the </w:t>
      </w:r>
      <w:r w:rsidR="008D0C6A">
        <w:t>‘</w:t>
      </w:r>
      <w:r w:rsidR="00B637CF">
        <w:t>woman in conflict</w:t>
      </w:r>
      <w:r w:rsidR="008D0C6A">
        <w:t>’</w:t>
      </w:r>
      <w:r w:rsidR="007A013D">
        <w:rPr>
          <w:rStyle w:val="FootnoteReference"/>
        </w:rPr>
        <w:footnoteReference w:id="47"/>
      </w:r>
      <w:r w:rsidR="00B637CF">
        <w:t xml:space="preserve"> trope, rather than addressing the complexity of the gendered nature of risk and harm underpinning different women’s lives as they strive to lead their communities and societies in times of conflict. </w:t>
      </w:r>
    </w:p>
    <w:p w14:paraId="32759DE8" w14:textId="4D71151B" w:rsidR="006E4806" w:rsidRDefault="725F1C70" w:rsidP="002C586E">
      <w:pPr>
        <w:spacing w:line="360" w:lineRule="auto"/>
        <w:ind w:firstLine="720"/>
        <w:jc w:val="both"/>
      </w:pPr>
      <w:r>
        <w:t xml:space="preserve">Established feminist critiques can be drawn from, while specific feminist scrutiny of cross-pillar synergy can offer fresh and new considerations on these questions. Both are advanced through this paper, by building on feminist approaches and generating a new textual analysis of cross-pillar synergies in UNSC thematic resolutions. The analysis explores the implications of </w:t>
      </w:r>
      <w:r>
        <w:lastRenderedPageBreak/>
        <w:t xml:space="preserve">connections between the pillars of participation and protection for the WPS agenda as a basis for identifying what the direction of travel currently initiated in the UNSC might indeed offer. </w:t>
      </w:r>
    </w:p>
    <w:p w14:paraId="1F336E8E" w14:textId="1324F2F0" w:rsidR="006E4806" w:rsidRDefault="006E4806" w:rsidP="006E4806">
      <w:pPr>
        <w:spacing w:line="360" w:lineRule="auto"/>
        <w:ind w:firstLine="720"/>
        <w:jc w:val="both"/>
      </w:pPr>
    </w:p>
    <w:p w14:paraId="139EF9B5" w14:textId="10CB9E6A" w:rsidR="006E4806" w:rsidRDefault="006E4806" w:rsidP="00E82E24">
      <w:pPr>
        <w:pStyle w:val="Heading1"/>
      </w:pPr>
      <w:proofErr w:type="gramStart"/>
      <w:r>
        <w:t xml:space="preserve">III  </w:t>
      </w:r>
      <w:r w:rsidR="00E82E24">
        <w:t>FEMINIST</w:t>
      </w:r>
      <w:proofErr w:type="gramEnd"/>
      <w:r w:rsidR="00E82E24">
        <w:t xml:space="preserve"> ANALYS</w:t>
      </w:r>
      <w:r w:rsidR="000E3253">
        <w:t>I</w:t>
      </w:r>
      <w:r w:rsidR="00E82E24">
        <w:t>S OF UNSC RESOLUTIONS</w:t>
      </w:r>
    </w:p>
    <w:p w14:paraId="386237BC" w14:textId="77777777" w:rsidR="00DC0676" w:rsidRPr="00473FF8" w:rsidRDefault="00DC0676" w:rsidP="006E4806">
      <w:pPr>
        <w:spacing w:line="360" w:lineRule="auto"/>
      </w:pPr>
    </w:p>
    <w:p w14:paraId="61612E85" w14:textId="1B87BD45" w:rsidR="00BE32ED" w:rsidRDefault="00E82E24" w:rsidP="00A72A2B">
      <w:pPr>
        <w:spacing w:line="360" w:lineRule="auto"/>
        <w:jc w:val="both"/>
      </w:pPr>
      <w:r w:rsidRPr="0019005C">
        <w:t xml:space="preserve">The starting point for any exploration of the connections between pillars </w:t>
      </w:r>
      <w:r>
        <w:t xml:space="preserve">of thematic resolutions </w:t>
      </w:r>
      <w:r w:rsidRPr="0019005C">
        <w:t xml:space="preserve">is the text of </w:t>
      </w:r>
      <w:r>
        <w:t xml:space="preserve">those </w:t>
      </w:r>
      <w:r w:rsidRPr="0019005C">
        <w:t>resolutions themselves</w:t>
      </w:r>
      <w:r>
        <w:t xml:space="preserve">. </w:t>
      </w:r>
      <w:r w:rsidR="00783A82">
        <w:t>A</w:t>
      </w:r>
      <w:r w:rsidR="00054546">
        <w:t xml:space="preserve">dopting </w:t>
      </w:r>
      <w:r w:rsidR="00924D5D">
        <w:t xml:space="preserve">a doctrinal textual </w:t>
      </w:r>
      <w:r w:rsidR="00054546">
        <w:t>approach</w:t>
      </w:r>
      <w:r w:rsidR="00783A82">
        <w:t>,</w:t>
      </w:r>
      <w:r w:rsidR="00054546">
        <w:t xml:space="preserve"> this article builds on the feminist tradition of engagement with the text of resolutions as </w:t>
      </w:r>
      <w:r w:rsidR="00783A82">
        <w:t>a</w:t>
      </w:r>
      <w:r w:rsidR="00054546">
        <w:t xml:space="preserve"> primary site of scholarly critique of norm development in the field of WPS. The following section first outlines the significance of feminist engagement with the texts of the resolutions, before </w:t>
      </w:r>
      <w:r w:rsidR="00783A82">
        <w:t xml:space="preserve">then </w:t>
      </w:r>
      <w:r w:rsidR="00054546">
        <w:t xml:space="preserve">explaining the method underpinning the substantive analysis presented in this article. </w:t>
      </w:r>
    </w:p>
    <w:p w14:paraId="45E7009E" w14:textId="77777777" w:rsidR="00A710DF" w:rsidRDefault="00A710DF" w:rsidP="00E82E24">
      <w:pPr>
        <w:spacing w:line="360" w:lineRule="auto"/>
        <w:jc w:val="both"/>
      </w:pPr>
    </w:p>
    <w:p w14:paraId="359BF790" w14:textId="79965778" w:rsidR="00E82E24" w:rsidRDefault="00E82E24" w:rsidP="00E82E24">
      <w:pPr>
        <w:pStyle w:val="Heading2"/>
        <w:numPr>
          <w:ilvl w:val="0"/>
          <w:numId w:val="14"/>
        </w:numPr>
      </w:pPr>
      <w:r w:rsidRPr="00E82E24">
        <w:t xml:space="preserve">Feminist Engagement </w:t>
      </w:r>
      <w:proofErr w:type="gramStart"/>
      <w:r w:rsidRPr="00E82E24">
        <w:t>With</w:t>
      </w:r>
      <w:proofErr w:type="gramEnd"/>
      <w:r w:rsidRPr="00E82E24">
        <w:t xml:space="preserve"> The </w:t>
      </w:r>
      <w:r w:rsidR="00A7393A">
        <w:t xml:space="preserve">WPS </w:t>
      </w:r>
      <w:r w:rsidRPr="00E82E24">
        <w:t>Resolutions</w:t>
      </w:r>
    </w:p>
    <w:p w14:paraId="28BA4D44" w14:textId="77777777" w:rsidR="00A7393A" w:rsidRPr="00A7393A" w:rsidRDefault="00A7393A" w:rsidP="00A7393A"/>
    <w:p w14:paraId="3273697B" w14:textId="5CBF2A12" w:rsidR="006E4806" w:rsidRDefault="006E4806" w:rsidP="00A710DF">
      <w:pPr>
        <w:spacing w:line="360" w:lineRule="auto"/>
        <w:jc w:val="both"/>
      </w:pPr>
      <w:r w:rsidRPr="00E82E24">
        <w:t>The UNSC resolutions are the ‘</w:t>
      </w:r>
      <w:r>
        <w:t>canonical texts’ of the WPS agenda,</w:t>
      </w:r>
      <w:r>
        <w:rPr>
          <w:vertAlign w:val="superscript"/>
        </w:rPr>
        <w:footnoteReference w:id="48"/>
      </w:r>
      <w:r>
        <w:t xml:space="preserve"> and the basis from which </w:t>
      </w:r>
      <w:r w:rsidR="0041523B">
        <w:t xml:space="preserve">related </w:t>
      </w:r>
      <w:r>
        <w:t>global and national policy making and action in the peace and security arena nominally flows.  Detailed textual analysis of the resolutions provides insight not only to what has been agreed</w:t>
      </w:r>
      <w:r w:rsidR="0041523B">
        <w:t xml:space="preserve"> by states</w:t>
      </w:r>
      <w:r>
        <w:t>, but also to the ‘political possibilities that are opened up, and foreclosed, in discourses of gender, peace and security</w:t>
      </w:r>
      <w:r w:rsidR="0041523B">
        <w:t>.</w:t>
      </w:r>
      <w:r>
        <w:t>’</w:t>
      </w:r>
      <w:r>
        <w:rPr>
          <w:vertAlign w:val="superscript"/>
        </w:rPr>
        <w:footnoteReference w:id="49"/>
      </w:r>
      <w:r w:rsidR="00A7393A">
        <w:t xml:space="preserve"> </w:t>
      </w:r>
      <w:r w:rsidR="0041523B">
        <w:t>R</w:t>
      </w:r>
      <w:r w:rsidR="00A7393A">
        <w:t xml:space="preserve">ecognition of </w:t>
      </w:r>
      <w:r w:rsidR="0041523B">
        <w:t>the latter</w:t>
      </w:r>
      <w:r w:rsidR="00A7393A">
        <w:t xml:space="preserve"> is imperative as we consider the potential that synergies between participation and protection might provide</w:t>
      </w:r>
      <w:r w:rsidR="0041523B">
        <w:t xml:space="preserve"> within the texts</w:t>
      </w:r>
      <w:r w:rsidR="00A7393A">
        <w:t xml:space="preserve">. </w:t>
      </w:r>
      <w:r>
        <w:t xml:space="preserve"> Kirby and Shepherd note how</w:t>
      </w:r>
    </w:p>
    <w:p w14:paraId="10A256BF" w14:textId="77777777" w:rsidR="006E4806" w:rsidRDefault="006E4806" w:rsidP="006E4806">
      <w:pPr>
        <w:spacing w:line="360" w:lineRule="auto"/>
        <w:jc w:val="both"/>
      </w:pPr>
    </w:p>
    <w:p w14:paraId="3EE6A6AB" w14:textId="669D0103" w:rsidR="006E4806" w:rsidRDefault="006E4806" w:rsidP="006E4806">
      <w:pPr>
        <w:spacing w:line="360" w:lineRule="auto"/>
        <w:ind w:left="720"/>
        <w:jc w:val="both"/>
      </w:pPr>
      <w:r>
        <w:t>‘Council resolutions are argued over in detail, carefully choreographed and understood to have far reaching ramifications based on the precise placement of terms, the sequencing of operative paragraphs, and the composition of the Council at the time of issuing.’</w:t>
      </w:r>
      <w:r w:rsidR="00A459B7">
        <w:rPr>
          <w:rStyle w:val="FootnoteReference"/>
        </w:rPr>
        <w:footnoteReference w:id="50"/>
      </w:r>
    </w:p>
    <w:p w14:paraId="42F4D704" w14:textId="77777777" w:rsidR="006D7097" w:rsidRDefault="006D7097" w:rsidP="00BE0518">
      <w:pPr>
        <w:spacing w:line="360" w:lineRule="auto"/>
        <w:jc w:val="both"/>
      </w:pPr>
    </w:p>
    <w:p w14:paraId="31BCD194" w14:textId="6AA0D23B" w:rsidR="006E4806" w:rsidRDefault="006E4806" w:rsidP="00BE0518">
      <w:pPr>
        <w:spacing w:line="360" w:lineRule="auto"/>
        <w:jc w:val="both"/>
      </w:pPr>
      <w:r>
        <w:t>The language employed in the resolutions is carefully negotiated on the basis of Council convention and states’ self-interest</w:t>
      </w:r>
      <w:r w:rsidR="001B5DCD">
        <w:t>. It</w:t>
      </w:r>
      <w:r>
        <w:t xml:space="preserve"> requires ‘granular interpretation’ to fully understand its </w:t>
      </w:r>
      <w:r>
        <w:lastRenderedPageBreak/>
        <w:t>meaning</w:t>
      </w:r>
      <w:r w:rsidR="009111CE">
        <w:t xml:space="preserve">, as well as the </w:t>
      </w:r>
      <w:r w:rsidR="001B5DCD">
        <w:t xml:space="preserve">implications </w:t>
      </w:r>
      <w:r w:rsidR="009111CE">
        <w:t xml:space="preserve">for </w:t>
      </w:r>
      <w:r>
        <w:t>implementation</w:t>
      </w:r>
      <w:r w:rsidR="001B5DCD">
        <w:t xml:space="preserve"> of the resolutions</w:t>
      </w:r>
      <w:r>
        <w:t>.</w:t>
      </w:r>
      <w:r>
        <w:rPr>
          <w:vertAlign w:val="superscript"/>
        </w:rPr>
        <w:footnoteReference w:id="51"/>
      </w:r>
      <w:r>
        <w:t xml:space="preserve"> Recognising this, feminists have advanced scholarly and praxis study of ‘the language that is used in UN-related documents’</w:t>
      </w:r>
      <w:r w:rsidR="001B5DCD">
        <w:t>.</w:t>
      </w:r>
      <w:r>
        <w:rPr>
          <w:vertAlign w:val="superscript"/>
        </w:rPr>
        <w:footnoteReference w:id="52"/>
      </w:r>
      <w:r>
        <w:t xml:space="preserve"> </w:t>
      </w:r>
      <w:r w:rsidR="001B5DCD">
        <w:t xml:space="preserve">In line with this </w:t>
      </w:r>
      <w:r w:rsidR="009111CE">
        <w:t>practice</w:t>
      </w:r>
      <w:r w:rsidR="001B5DCD">
        <w:t>, t</w:t>
      </w:r>
      <w:r>
        <w:t xml:space="preserve">he WPS resolutions and their associated normative products, such as WPS action plans, </w:t>
      </w:r>
      <w:r w:rsidR="001B5DCD">
        <w:t xml:space="preserve">have become the </w:t>
      </w:r>
      <w:r>
        <w:t xml:space="preserve">subject </w:t>
      </w:r>
      <w:r w:rsidR="001B5DCD">
        <w:t>of</w:t>
      </w:r>
      <w:r>
        <w:t xml:space="preserve"> a growing range of scholarly textual and content analysis research.</w:t>
      </w:r>
      <w:r>
        <w:rPr>
          <w:vertAlign w:val="superscript"/>
        </w:rPr>
        <w:footnoteReference w:id="53"/>
      </w:r>
      <w:r>
        <w:t xml:space="preserve"> </w:t>
      </w:r>
    </w:p>
    <w:p w14:paraId="33C0E2EC" w14:textId="018693A0" w:rsidR="006E4806" w:rsidRDefault="006E4806" w:rsidP="006E4806">
      <w:pPr>
        <w:spacing w:line="360" w:lineRule="auto"/>
        <w:ind w:firstLine="720"/>
        <w:jc w:val="both"/>
      </w:pPr>
      <w:r>
        <w:t xml:space="preserve">Textual analysis has been used to critique, for example, the nature and legal status of </w:t>
      </w:r>
      <w:r w:rsidR="00860F9C">
        <w:t xml:space="preserve">WPS </w:t>
      </w:r>
      <w:r>
        <w:t>resolutions,</w:t>
      </w:r>
      <w:r>
        <w:rPr>
          <w:vertAlign w:val="superscript"/>
        </w:rPr>
        <w:footnoteReference w:id="54"/>
      </w:r>
      <w:r>
        <w:t xml:space="preserve"> the inherently western and racialised gaze of the agenda,</w:t>
      </w:r>
      <w:r>
        <w:rPr>
          <w:vertAlign w:val="superscript"/>
        </w:rPr>
        <w:footnoteReference w:id="55"/>
      </w:r>
      <w:r>
        <w:t xml:space="preserve"> and the reductive framing of thematic areas of concern.</w:t>
      </w:r>
      <w:r>
        <w:rPr>
          <w:vertAlign w:val="superscript"/>
        </w:rPr>
        <w:footnoteReference w:id="56"/>
      </w:r>
      <w:r>
        <w:t xml:space="preserve"> This critique has been crafted on the basis of careful feminist analysis of aspects of the thematic focused text of the resolutions,</w:t>
      </w:r>
      <w:r>
        <w:rPr>
          <w:vertAlign w:val="superscript"/>
        </w:rPr>
        <w:footnoteReference w:id="57"/>
      </w:r>
      <w:r>
        <w:t xml:space="preserve"> on the specific language of that text,</w:t>
      </w:r>
      <w:r>
        <w:rPr>
          <w:vertAlign w:val="superscript"/>
        </w:rPr>
        <w:footnoteReference w:id="58"/>
      </w:r>
      <w:r>
        <w:t xml:space="preserve"> and even on singular operative paragraphs.</w:t>
      </w:r>
      <w:r>
        <w:rPr>
          <w:vertAlign w:val="superscript"/>
        </w:rPr>
        <w:footnoteReference w:id="59"/>
      </w:r>
      <w:r>
        <w:t xml:space="preserve"> </w:t>
      </w:r>
      <w:r>
        <w:rPr>
          <w:highlight w:val="white"/>
        </w:rPr>
        <w:t xml:space="preserve">In short, the content, nature and implications of the </w:t>
      </w:r>
      <w:r>
        <w:rPr>
          <w:i/>
          <w:highlight w:val="white"/>
        </w:rPr>
        <w:t>texts of the resolutions</w:t>
      </w:r>
      <w:r>
        <w:rPr>
          <w:highlight w:val="white"/>
        </w:rPr>
        <w:t xml:space="preserve"> and their </w:t>
      </w:r>
      <w:r>
        <w:rPr>
          <w:i/>
          <w:highlight w:val="white"/>
        </w:rPr>
        <w:t>operative paragraphs</w:t>
      </w:r>
      <w:r w:rsidR="005C4BAD">
        <w:rPr>
          <w:i/>
          <w:highlight w:val="white"/>
        </w:rPr>
        <w:t xml:space="preserve"> particularly</w:t>
      </w:r>
      <w:r>
        <w:rPr>
          <w:highlight w:val="white"/>
        </w:rPr>
        <w:t xml:space="preserve"> have been subject to significant consideration and been treated as a serious subject in a broad body of feminist scholarship.</w:t>
      </w:r>
    </w:p>
    <w:p w14:paraId="09CE4E81" w14:textId="4A5351B0" w:rsidR="006E4806" w:rsidRDefault="006E4806" w:rsidP="006E4806">
      <w:pPr>
        <w:spacing w:line="360" w:lineRule="auto"/>
        <w:ind w:firstLine="720"/>
        <w:jc w:val="both"/>
        <w:rPr>
          <w:highlight w:val="white"/>
        </w:rPr>
      </w:pPr>
      <w:r>
        <w:t>Analysis of the text of these resolutions is recognition of the primordial place and power of language in security diplomacy, its representation of the outputs of negotiations, and ultimately what we can interpret UNSC members, and the actors they nominate, to be committed to in respect of women’s rights in conflict.</w:t>
      </w:r>
      <w:r>
        <w:rPr>
          <w:vertAlign w:val="superscript"/>
        </w:rPr>
        <w:footnoteReference w:id="60"/>
      </w:r>
      <w:r>
        <w:t xml:space="preserve">  </w:t>
      </w:r>
      <w:r w:rsidR="00AA3540">
        <w:t>I</w:t>
      </w:r>
      <w:r>
        <w:rPr>
          <w:highlight w:val="white"/>
        </w:rPr>
        <w:t xml:space="preserve">t is important to acknowledge </w:t>
      </w:r>
      <w:r w:rsidR="00AA3540">
        <w:rPr>
          <w:highlight w:val="white"/>
        </w:rPr>
        <w:t xml:space="preserve">here </w:t>
      </w:r>
      <w:r>
        <w:rPr>
          <w:highlight w:val="white"/>
        </w:rPr>
        <w:t xml:space="preserve">that the </w:t>
      </w:r>
      <w:r w:rsidR="00AA3540">
        <w:rPr>
          <w:highlight w:val="white"/>
        </w:rPr>
        <w:t xml:space="preserve">trajectory of women’s </w:t>
      </w:r>
      <w:r w:rsidR="00AA3540">
        <w:rPr>
          <w:highlight w:val="white"/>
        </w:rPr>
        <w:lastRenderedPageBreak/>
        <w:t>rights in conflict does</w:t>
      </w:r>
      <w:r>
        <w:rPr>
          <w:highlight w:val="white"/>
        </w:rPr>
        <w:t xml:space="preserve"> not reside solely in the UNSC or its resolutions</w:t>
      </w:r>
      <w:r w:rsidR="00AA3540">
        <w:rPr>
          <w:highlight w:val="white"/>
        </w:rPr>
        <w:t xml:space="preserve">. The WPS agenda has, however, significantly influenced and </w:t>
      </w:r>
      <w:r>
        <w:rPr>
          <w:highlight w:val="white"/>
        </w:rPr>
        <w:t>continue</w:t>
      </w:r>
      <w:r w:rsidR="00AA3540">
        <w:rPr>
          <w:highlight w:val="white"/>
        </w:rPr>
        <w:t>s</w:t>
      </w:r>
      <w:r>
        <w:rPr>
          <w:highlight w:val="white"/>
        </w:rPr>
        <w:t xml:space="preserve"> to shape</w:t>
      </w:r>
      <w:r w:rsidR="00AA3540">
        <w:rPr>
          <w:highlight w:val="white"/>
        </w:rPr>
        <w:t>,</w:t>
      </w:r>
      <w:r>
        <w:rPr>
          <w:highlight w:val="white"/>
        </w:rPr>
        <w:t xml:space="preserve"> the global policy landscape -for better or for worse- when it comes to the positioning of women’s </w:t>
      </w:r>
      <w:r w:rsidR="00AA3540">
        <w:rPr>
          <w:highlight w:val="white"/>
        </w:rPr>
        <w:t>interests</w:t>
      </w:r>
      <w:r>
        <w:rPr>
          <w:highlight w:val="white"/>
        </w:rPr>
        <w:t xml:space="preserve"> in peace and security. It is in </w:t>
      </w:r>
      <w:r w:rsidR="00AA3540">
        <w:rPr>
          <w:highlight w:val="white"/>
        </w:rPr>
        <w:t>that</w:t>
      </w:r>
      <w:r>
        <w:rPr>
          <w:highlight w:val="white"/>
        </w:rPr>
        <w:t xml:space="preserve"> context that an analysis of the relationship between participation and protection </w:t>
      </w:r>
      <w:r w:rsidR="00AA3540">
        <w:rPr>
          <w:highlight w:val="white"/>
        </w:rPr>
        <w:t xml:space="preserve">within and across </w:t>
      </w:r>
      <w:r>
        <w:rPr>
          <w:highlight w:val="white"/>
        </w:rPr>
        <w:t xml:space="preserve">the </w:t>
      </w:r>
      <w:r w:rsidR="00AA3540">
        <w:rPr>
          <w:highlight w:val="white"/>
        </w:rPr>
        <w:t xml:space="preserve">WPS </w:t>
      </w:r>
      <w:r>
        <w:rPr>
          <w:highlight w:val="white"/>
        </w:rPr>
        <w:t xml:space="preserve">resolutions is presented. </w:t>
      </w:r>
    </w:p>
    <w:p w14:paraId="2D2CB799" w14:textId="77777777" w:rsidR="006D7097" w:rsidRDefault="006D7097" w:rsidP="006E4806">
      <w:pPr>
        <w:spacing w:line="360" w:lineRule="auto"/>
        <w:ind w:firstLine="720"/>
        <w:jc w:val="both"/>
        <w:rPr>
          <w:highlight w:val="white"/>
        </w:rPr>
      </w:pPr>
    </w:p>
    <w:p w14:paraId="580FA765" w14:textId="774EFE10" w:rsidR="00E82E24" w:rsidRDefault="006D7097" w:rsidP="00A710DF">
      <w:pPr>
        <w:pStyle w:val="Heading2"/>
        <w:numPr>
          <w:ilvl w:val="0"/>
          <w:numId w:val="14"/>
        </w:numPr>
        <w:rPr>
          <w:highlight w:val="white"/>
        </w:rPr>
      </w:pPr>
      <w:r>
        <w:rPr>
          <w:highlight w:val="white"/>
        </w:rPr>
        <w:t>Textual Analysis of Cross-Pillar Synergies</w:t>
      </w:r>
    </w:p>
    <w:p w14:paraId="28BE83DD" w14:textId="77777777" w:rsidR="00A710DF" w:rsidRPr="00A710DF" w:rsidRDefault="00A710DF" w:rsidP="00A710DF">
      <w:pPr>
        <w:ind w:left="360"/>
        <w:rPr>
          <w:highlight w:val="white"/>
        </w:rPr>
      </w:pPr>
    </w:p>
    <w:p w14:paraId="0B88A141" w14:textId="7F103E18" w:rsidR="006E4806" w:rsidRDefault="006E4806" w:rsidP="007E4A76">
      <w:pPr>
        <w:spacing w:line="360" w:lineRule="auto"/>
        <w:ind w:firstLine="720"/>
        <w:jc w:val="both"/>
      </w:pPr>
      <w:r>
        <w:t xml:space="preserve">Building on the tradition of feminist engagement </w:t>
      </w:r>
      <w:r w:rsidR="00A710DF">
        <w:t>outlined above</w:t>
      </w:r>
      <w:r>
        <w:t xml:space="preserve">, </w:t>
      </w:r>
      <w:r w:rsidR="00D31331">
        <w:t xml:space="preserve">for this paper, </w:t>
      </w:r>
      <w:r>
        <w:t xml:space="preserve">the text of each </w:t>
      </w:r>
      <w:r w:rsidR="00D31331">
        <w:t xml:space="preserve">of the ten </w:t>
      </w:r>
      <w:r>
        <w:t>WPS resolution</w:t>
      </w:r>
      <w:r w:rsidR="00D31331">
        <w:t>s</w:t>
      </w:r>
      <w:r>
        <w:t xml:space="preserve"> </w:t>
      </w:r>
      <w:r w:rsidR="00A710DF">
        <w:t>was</w:t>
      </w:r>
      <w:r>
        <w:t xml:space="preserve"> examined on the basis of the following question: have the WPS resolutions addressed the relationship between participation and protection to date? </w:t>
      </w:r>
      <w:r w:rsidR="00A710DF">
        <w:t>The question was applied to the resolutions by first identifying language within each resolution that referenced participation</w:t>
      </w:r>
      <w:r w:rsidR="006D7097">
        <w:t xml:space="preserve">, that referenced </w:t>
      </w:r>
      <w:r w:rsidR="00A710DF">
        <w:t xml:space="preserve">protection, or </w:t>
      </w:r>
      <w:r w:rsidR="00900F7A">
        <w:t>referenced them jointly in some way</w:t>
      </w:r>
      <w:r w:rsidR="00A710DF">
        <w:t xml:space="preserve">. </w:t>
      </w:r>
      <w:r w:rsidR="00EA5AE2">
        <w:t>T</w:t>
      </w:r>
      <w:r w:rsidR="00A710DF">
        <w:t xml:space="preserve">ext </w:t>
      </w:r>
      <w:r w:rsidR="00EA5AE2">
        <w:t xml:space="preserve">from the resolutions </w:t>
      </w:r>
      <w:r w:rsidR="006D7097">
        <w:t>were</w:t>
      </w:r>
      <w:r w:rsidR="00A710DF">
        <w:t xml:space="preserve"> </w:t>
      </w:r>
      <w:r w:rsidR="006D7097">
        <w:t xml:space="preserve">copied into a table </w:t>
      </w:r>
      <w:r w:rsidR="00EA5AE2">
        <w:t xml:space="preserve">organised around those three </w:t>
      </w:r>
      <w:r w:rsidR="00A710DF">
        <w:t>categoris</w:t>
      </w:r>
      <w:r w:rsidR="00A84C42">
        <w:t>ations.</w:t>
      </w:r>
      <w:r w:rsidR="00A710DF">
        <w:t xml:space="preserve"> </w:t>
      </w:r>
      <w:r w:rsidR="006D7097">
        <w:t>The table</w:t>
      </w:r>
      <w:r w:rsidR="00A710DF">
        <w:t xml:space="preserve"> </w:t>
      </w:r>
      <w:r w:rsidR="006D7097">
        <w:t xml:space="preserve">was used to conduct </w:t>
      </w:r>
      <w:r w:rsidR="00A710DF">
        <w:t xml:space="preserve">a disaggregated and aggregated analysis of the text of the resolutions through the </w:t>
      </w:r>
      <w:r>
        <w:t xml:space="preserve">lens of </w:t>
      </w:r>
      <w:r w:rsidR="006D7097">
        <w:t>the</w:t>
      </w:r>
      <w:r>
        <w:t xml:space="preserve"> pillar</w:t>
      </w:r>
      <w:r w:rsidR="006D7097">
        <w:t>s</w:t>
      </w:r>
      <w:r w:rsidR="00D31331">
        <w:t xml:space="preserve"> and the research question</w:t>
      </w:r>
      <w:r w:rsidR="00924D5D">
        <w:t>. The aim was to identify not only the existence of pillar specific text, but to pinpoint</w:t>
      </w:r>
      <w:r w:rsidR="006D7097">
        <w:t xml:space="preserve"> </w:t>
      </w:r>
      <w:r>
        <w:t>any inter-connections between the</w:t>
      </w:r>
      <w:r w:rsidR="00D31331">
        <w:t xml:space="preserve"> pillars</w:t>
      </w:r>
      <w:r>
        <w:t xml:space="preserve"> </w:t>
      </w:r>
      <w:r w:rsidR="00924D5D">
        <w:t>evident in the text</w:t>
      </w:r>
      <w:r w:rsidR="006D7097">
        <w:t>. This was done</w:t>
      </w:r>
      <w:r>
        <w:t xml:space="preserve"> </w:t>
      </w:r>
      <w:r w:rsidR="00A710DF">
        <w:t>‘</w:t>
      </w:r>
      <w:r>
        <w:t>with the aim of identifying a pattern</w:t>
      </w:r>
      <w:r w:rsidR="00A710DF">
        <w:t>’</w:t>
      </w:r>
      <w:r>
        <w:rPr>
          <w:vertAlign w:val="superscript"/>
        </w:rPr>
        <w:footnoteReference w:id="61"/>
      </w:r>
      <w:r>
        <w:t xml:space="preserve"> </w:t>
      </w:r>
      <w:r w:rsidR="006D7097">
        <w:t xml:space="preserve">which </w:t>
      </w:r>
      <w:r w:rsidR="00924D5D">
        <w:t>was</w:t>
      </w:r>
      <w:r w:rsidR="006D7097">
        <w:t xml:space="preserve"> used to organise the analysis into themes, discussed in the next section. </w:t>
      </w:r>
      <w:r>
        <w:t xml:space="preserve">In </w:t>
      </w:r>
      <w:r w:rsidR="00D31331">
        <w:t>that</w:t>
      </w:r>
      <w:r>
        <w:t xml:space="preserve"> way</w:t>
      </w:r>
      <w:r w:rsidR="00A710DF">
        <w:t>,</w:t>
      </w:r>
      <w:r>
        <w:t xml:space="preserve"> the textual analysis provide</w:t>
      </w:r>
      <w:r w:rsidR="00A710DF">
        <w:t>d</w:t>
      </w:r>
      <w:r>
        <w:t xml:space="preserve"> both a mapping of language relevant to </w:t>
      </w:r>
      <w:r w:rsidR="00924D5D">
        <w:t xml:space="preserve">the </w:t>
      </w:r>
      <w:r>
        <w:t xml:space="preserve">inquiry </w:t>
      </w:r>
      <w:r w:rsidR="00A710DF">
        <w:t>as well as</w:t>
      </w:r>
      <w:r>
        <w:t xml:space="preserve"> present</w:t>
      </w:r>
      <w:r w:rsidR="00A710DF">
        <w:t>ing</w:t>
      </w:r>
      <w:r>
        <w:t xml:space="preserve"> a new thematic reading of the resolutions through the lens of the two pillars</w:t>
      </w:r>
      <w:r w:rsidR="00924D5D">
        <w:t>, presented in the following section.</w:t>
      </w:r>
    </w:p>
    <w:p w14:paraId="4159C48D" w14:textId="0D3764F6" w:rsidR="00337294" w:rsidRDefault="00337294" w:rsidP="0010576B">
      <w:pPr>
        <w:spacing w:line="360" w:lineRule="auto"/>
        <w:ind w:firstLine="720"/>
        <w:jc w:val="both"/>
      </w:pPr>
    </w:p>
    <w:p w14:paraId="36D1FBCF" w14:textId="77777777" w:rsidR="0032353E" w:rsidRPr="0009592F" w:rsidRDefault="0032353E" w:rsidP="0032353E">
      <w:pPr>
        <w:pStyle w:val="Heading1"/>
        <w:numPr>
          <w:ilvl w:val="0"/>
          <w:numId w:val="5"/>
        </w:numPr>
        <w:rPr>
          <w:bCs/>
        </w:rPr>
      </w:pPr>
      <w:r w:rsidRPr="0009592F">
        <w:rPr>
          <w:bCs/>
        </w:rPr>
        <w:t>PARTICIPATION AND PROTECTION IN THE WPS RESOLUTIONS</w:t>
      </w:r>
    </w:p>
    <w:p w14:paraId="051623E6" w14:textId="77777777" w:rsidR="00C66395" w:rsidRDefault="00C66395" w:rsidP="007E4A76">
      <w:pPr>
        <w:spacing w:line="360" w:lineRule="auto"/>
        <w:jc w:val="both"/>
        <w:rPr>
          <w:highlight w:val="white"/>
        </w:rPr>
      </w:pPr>
    </w:p>
    <w:p w14:paraId="01E2172A" w14:textId="6E2F1ADF" w:rsidR="00C66395" w:rsidRDefault="00C66395" w:rsidP="00B41775">
      <w:pPr>
        <w:spacing w:line="360" w:lineRule="auto"/>
        <w:ind w:firstLine="720"/>
        <w:jc w:val="both"/>
        <w:rPr>
          <w:highlight w:val="white"/>
        </w:rPr>
      </w:pPr>
      <w:r w:rsidRPr="00C66395">
        <w:rPr>
          <w:highlight w:val="white"/>
        </w:rPr>
        <w:t xml:space="preserve">Detailed textual analysis of the WPS resolutions </w:t>
      </w:r>
      <w:r w:rsidR="00E826C1">
        <w:rPr>
          <w:highlight w:val="white"/>
        </w:rPr>
        <w:t xml:space="preserve">identified two over-arching thematic findings with respect to the participation and protection pillars. First, it found, evidenced and </w:t>
      </w:r>
      <w:r w:rsidR="002870D5">
        <w:rPr>
          <w:highlight w:val="white"/>
        </w:rPr>
        <w:t>reiterate</w:t>
      </w:r>
      <w:r w:rsidR="00E826C1">
        <w:rPr>
          <w:highlight w:val="white"/>
        </w:rPr>
        <w:t xml:space="preserve">d </w:t>
      </w:r>
      <w:r w:rsidR="0053382F">
        <w:rPr>
          <w:highlight w:val="white"/>
        </w:rPr>
        <w:t>that</w:t>
      </w:r>
      <w:r w:rsidRPr="00C66395">
        <w:rPr>
          <w:highlight w:val="white"/>
        </w:rPr>
        <w:t xml:space="preserve"> both participation and protection appear as distinct areas of focus with their own distinct provisions</w:t>
      </w:r>
      <w:r w:rsidR="00E826C1">
        <w:rPr>
          <w:highlight w:val="white"/>
        </w:rPr>
        <w:t xml:space="preserve">, </w:t>
      </w:r>
      <w:r w:rsidR="00B41775">
        <w:rPr>
          <w:highlight w:val="white"/>
        </w:rPr>
        <w:t>and have a</w:t>
      </w:r>
      <w:r w:rsidR="00E826C1">
        <w:rPr>
          <w:highlight w:val="white"/>
        </w:rPr>
        <w:t xml:space="preserve"> predominant </w:t>
      </w:r>
      <w:proofErr w:type="gramStart"/>
      <w:r w:rsidR="00E826C1">
        <w:rPr>
          <w:highlight w:val="white"/>
        </w:rPr>
        <w:t>presence</w:t>
      </w:r>
      <w:r w:rsidRPr="00C66395">
        <w:rPr>
          <w:highlight w:val="white"/>
        </w:rPr>
        <w:t xml:space="preserve"> </w:t>
      </w:r>
      <w:r w:rsidR="00B41775">
        <w:rPr>
          <w:highlight w:val="white"/>
        </w:rPr>
        <w:t>,</w:t>
      </w:r>
      <w:r w:rsidRPr="00C66395">
        <w:rPr>
          <w:highlight w:val="white"/>
        </w:rPr>
        <w:t>within</w:t>
      </w:r>
      <w:proofErr w:type="gramEnd"/>
      <w:r w:rsidRPr="00C66395">
        <w:rPr>
          <w:highlight w:val="white"/>
        </w:rPr>
        <w:t xml:space="preserve"> and across the resolutions.</w:t>
      </w:r>
      <w:r w:rsidR="00711AF8">
        <w:rPr>
          <w:rStyle w:val="FootnoteReference"/>
          <w:highlight w:val="white"/>
        </w:rPr>
        <w:footnoteReference w:id="62"/>
      </w:r>
      <w:r w:rsidRPr="00C66395">
        <w:rPr>
          <w:highlight w:val="white"/>
        </w:rPr>
        <w:t xml:space="preserve">  </w:t>
      </w:r>
      <w:r w:rsidR="00E826C1">
        <w:rPr>
          <w:highlight w:val="white"/>
        </w:rPr>
        <w:t xml:space="preserve">Analysis of how </w:t>
      </w:r>
      <w:r w:rsidR="00B41775">
        <w:rPr>
          <w:highlight w:val="white"/>
        </w:rPr>
        <w:t>each</w:t>
      </w:r>
      <w:r w:rsidR="00E826C1">
        <w:rPr>
          <w:highlight w:val="white"/>
        </w:rPr>
        <w:t xml:space="preserve"> pillars appear</w:t>
      </w:r>
      <w:r w:rsidR="00B41775">
        <w:rPr>
          <w:highlight w:val="white"/>
        </w:rPr>
        <w:t>s</w:t>
      </w:r>
      <w:r w:rsidR="00E826C1">
        <w:rPr>
          <w:highlight w:val="white"/>
        </w:rPr>
        <w:t xml:space="preserve"> in distinctive and parallel ways</w:t>
      </w:r>
      <w:r w:rsidRPr="00C66395">
        <w:rPr>
          <w:highlight w:val="white"/>
        </w:rPr>
        <w:t xml:space="preserve"> is first set out </w:t>
      </w:r>
      <w:r w:rsidR="00E826C1">
        <w:rPr>
          <w:highlight w:val="white"/>
        </w:rPr>
        <w:t>in the</w:t>
      </w:r>
      <w:r w:rsidRPr="00C66395">
        <w:rPr>
          <w:highlight w:val="white"/>
        </w:rPr>
        <w:t xml:space="preserve"> discuss</w:t>
      </w:r>
      <w:r w:rsidR="00E826C1">
        <w:rPr>
          <w:highlight w:val="white"/>
        </w:rPr>
        <w:t>ion section</w:t>
      </w:r>
      <w:r w:rsidRPr="00C66395">
        <w:rPr>
          <w:highlight w:val="white"/>
        </w:rPr>
        <w:t xml:space="preserve"> </w:t>
      </w:r>
      <w:r w:rsidRPr="00C66395">
        <w:rPr>
          <w:highlight w:val="white"/>
        </w:rPr>
        <w:lastRenderedPageBreak/>
        <w:t xml:space="preserve">below. </w:t>
      </w:r>
      <w:r w:rsidR="00E826C1">
        <w:rPr>
          <w:highlight w:val="white"/>
        </w:rPr>
        <w:t>Second, t</w:t>
      </w:r>
      <w:r w:rsidRPr="00C66395">
        <w:rPr>
          <w:highlight w:val="white"/>
        </w:rPr>
        <w:t xml:space="preserve">he </w:t>
      </w:r>
      <w:r w:rsidR="00E826C1">
        <w:rPr>
          <w:highlight w:val="white"/>
        </w:rPr>
        <w:t xml:space="preserve">textual </w:t>
      </w:r>
      <w:r w:rsidRPr="00C66395">
        <w:rPr>
          <w:highlight w:val="white"/>
        </w:rPr>
        <w:t xml:space="preserve">analysis </w:t>
      </w:r>
      <w:r w:rsidR="00E826C1">
        <w:rPr>
          <w:highlight w:val="white"/>
        </w:rPr>
        <w:t xml:space="preserve">identified </w:t>
      </w:r>
      <w:r w:rsidRPr="00C66395">
        <w:rPr>
          <w:highlight w:val="white"/>
        </w:rPr>
        <w:t xml:space="preserve">three over-arching thematic ways that participation and protection appear </w:t>
      </w:r>
      <w:r w:rsidRPr="0053382F">
        <w:rPr>
          <w:i/>
          <w:iCs/>
          <w:highlight w:val="white"/>
        </w:rPr>
        <w:t>in relation to one another</w:t>
      </w:r>
      <w:r w:rsidRPr="00C66395">
        <w:rPr>
          <w:highlight w:val="white"/>
        </w:rPr>
        <w:t xml:space="preserve"> within the resolutions</w:t>
      </w:r>
      <w:r w:rsidR="00B41775">
        <w:rPr>
          <w:highlight w:val="white"/>
        </w:rPr>
        <w:t xml:space="preserve">, as follows: </w:t>
      </w:r>
      <w:r w:rsidRPr="00C66395">
        <w:rPr>
          <w:highlight w:val="white"/>
        </w:rPr>
        <w:t>(</w:t>
      </w:r>
      <w:proofErr w:type="spellStart"/>
      <w:r w:rsidRPr="00C66395">
        <w:rPr>
          <w:highlight w:val="white"/>
        </w:rPr>
        <w:t>i</w:t>
      </w:r>
      <w:proofErr w:type="spellEnd"/>
      <w:r w:rsidRPr="00C66395">
        <w:rPr>
          <w:highlight w:val="white"/>
        </w:rPr>
        <w:t xml:space="preserve">) </w:t>
      </w:r>
      <w:r w:rsidRPr="00C66395">
        <w:rPr>
          <w:i/>
          <w:iCs/>
          <w:highlight w:val="white"/>
        </w:rPr>
        <w:t xml:space="preserve">Balancing Empowerment and Victimhood; (ii) Women’s participation as protection; and (iii) Protection Related Specifically to Women’s Participation and Leadership. </w:t>
      </w:r>
      <w:r w:rsidR="00B41775">
        <w:rPr>
          <w:highlight w:val="white"/>
        </w:rPr>
        <w:t>Each theme is discussed below also. The t</w:t>
      </w:r>
      <w:r w:rsidRPr="00C66395">
        <w:rPr>
          <w:highlight w:val="white"/>
        </w:rPr>
        <w:t>extual analysis cover</w:t>
      </w:r>
      <w:r w:rsidR="00AC189C">
        <w:rPr>
          <w:highlight w:val="white"/>
        </w:rPr>
        <w:t>ed</w:t>
      </w:r>
      <w:r w:rsidRPr="00C66395">
        <w:rPr>
          <w:highlight w:val="white"/>
        </w:rPr>
        <w:t xml:space="preserve"> both the preambular paragraphs as well as the operational paragraphs </w:t>
      </w:r>
      <w:r w:rsidR="00AC189C">
        <w:rPr>
          <w:highlight w:val="white"/>
        </w:rPr>
        <w:t>of the resolutions</w:t>
      </w:r>
      <w:r w:rsidRPr="00C66395">
        <w:rPr>
          <w:highlight w:val="white"/>
        </w:rPr>
        <w:t>.</w:t>
      </w:r>
      <w:r w:rsidR="00B81C4F">
        <w:rPr>
          <w:highlight w:val="white"/>
        </w:rPr>
        <w:t xml:space="preserve"> </w:t>
      </w:r>
      <w:r w:rsidR="00924D5D">
        <w:rPr>
          <w:highlight w:val="white"/>
        </w:rPr>
        <w:t>R</w:t>
      </w:r>
      <w:r w:rsidR="00B81C4F">
        <w:rPr>
          <w:highlight w:val="white"/>
        </w:rPr>
        <w:t>ecognis</w:t>
      </w:r>
      <w:r w:rsidR="00924D5D">
        <w:rPr>
          <w:highlight w:val="white"/>
        </w:rPr>
        <w:t>ing</w:t>
      </w:r>
      <w:r w:rsidR="00B81C4F">
        <w:rPr>
          <w:highlight w:val="white"/>
        </w:rPr>
        <w:t xml:space="preserve"> that </w:t>
      </w:r>
      <w:r w:rsidRPr="00C66395">
        <w:rPr>
          <w:highlight w:val="white"/>
        </w:rPr>
        <w:t xml:space="preserve">the preambular paragraphs are </w:t>
      </w:r>
      <w:r w:rsidR="00924D5D">
        <w:rPr>
          <w:highlight w:val="white"/>
        </w:rPr>
        <w:t xml:space="preserve">often </w:t>
      </w:r>
      <w:r w:rsidRPr="00C66395">
        <w:rPr>
          <w:highlight w:val="white"/>
        </w:rPr>
        <w:t>regarded in international law as carrying less normative weight than O</w:t>
      </w:r>
      <w:r w:rsidR="00921AD2">
        <w:rPr>
          <w:highlight w:val="white"/>
        </w:rPr>
        <w:t>P</w:t>
      </w:r>
      <w:r w:rsidRPr="00C66395">
        <w:rPr>
          <w:highlight w:val="white"/>
        </w:rPr>
        <w:t>s</w:t>
      </w:r>
      <w:r w:rsidR="00924D5D">
        <w:rPr>
          <w:highlight w:val="white"/>
        </w:rPr>
        <w:t>,</w:t>
      </w:r>
      <w:r w:rsidR="00711AF8">
        <w:rPr>
          <w:rStyle w:val="FootnoteReference"/>
          <w:highlight w:val="white"/>
        </w:rPr>
        <w:footnoteReference w:id="63"/>
      </w:r>
      <w:r w:rsidRPr="00C66395">
        <w:rPr>
          <w:highlight w:val="white"/>
        </w:rPr>
        <w:t xml:space="preserve"> </w:t>
      </w:r>
      <w:r w:rsidR="00924D5D">
        <w:rPr>
          <w:highlight w:val="white"/>
        </w:rPr>
        <w:t>the</w:t>
      </w:r>
      <w:r w:rsidRPr="00C66395">
        <w:rPr>
          <w:highlight w:val="white"/>
        </w:rPr>
        <w:t xml:space="preserve"> analysis </w:t>
      </w:r>
      <w:r w:rsidR="00924D5D">
        <w:rPr>
          <w:highlight w:val="white"/>
        </w:rPr>
        <w:t xml:space="preserve">is centred </w:t>
      </w:r>
      <w:r w:rsidR="00B81C4F">
        <w:rPr>
          <w:highlight w:val="white"/>
        </w:rPr>
        <w:t>primarily</w:t>
      </w:r>
      <w:r w:rsidRPr="00C66395">
        <w:rPr>
          <w:highlight w:val="white"/>
        </w:rPr>
        <w:t xml:space="preserve"> on the O</w:t>
      </w:r>
      <w:r w:rsidR="00921AD2">
        <w:rPr>
          <w:highlight w:val="white"/>
        </w:rPr>
        <w:t>P</w:t>
      </w:r>
      <w:r w:rsidRPr="00C66395">
        <w:rPr>
          <w:highlight w:val="white"/>
        </w:rPr>
        <w:t>s</w:t>
      </w:r>
      <w:r w:rsidR="00924D5D">
        <w:rPr>
          <w:highlight w:val="white"/>
        </w:rPr>
        <w:t>.</w:t>
      </w:r>
      <w:r w:rsidR="00AC189C">
        <w:rPr>
          <w:highlight w:val="white"/>
        </w:rPr>
        <w:t xml:space="preserve"> </w:t>
      </w:r>
      <w:r w:rsidR="00924D5D">
        <w:rPr>
          <w:highlight w:val="white"/>
        </w:rPr>
        <w:t>Nevertheless, from the analysis it is noted that in many cases</w:t>
      </w:r>
      <w:r w:rsidR="00B81C4F">
        <w:rPr>
          <w:highlight w:val="white"/>
        </w:rPr>
        <w:t xml:space="preserve"> </w:t>
      </w:r>
      <w:r w:rsidRPr="00C66395">
        <w:rPr>
          <w:highlight w:val="white"/>
        </w:rPr>
        <w:t xml:space="preserve">more substantive aspects of </w:t>
      </w:r>
      <w:r w:rsidR="00B41775">
        <w:rPr>
          <w:highlight w:val="white"/>
        </w:rPr>
        <w:t xml:space="preserve">the relationship between </w:t>
      </w:r>
      <w:r w:rsidRPr="00C66395">
        <w:rPr>
          <w:highlight w:val="white"/>
        </w:rPr>
        <w:t>participation and protection tend to be elucidated in the preambular sections of resolutions</w:t>
      </w:r>
      <w:r w:rsidR="00924D5D">
        <w:rPr>
          <w:highlight w:val="white"/>
        </w:rPr>
        <w:t>. For this reason</w:t>
      </w:r>
      <w:r w:rsidR="00B856DF">
        <w:rPr>
          <w:highlight w:val="white"/>
        </w:rPr>
        <w:t>,</w:t>
      </w:r>
      <w:r w:rsidR="00924D5D">
        <w:rPr>
          <w:highlight w:val="white"/>
        </w:rPr>
        <w:t xml:space="preserve"> preambular text </w:t>
      </w:r>
      <w:r w:rsidR="00B41775">
        <w:rPr>
          <w:highlight w:val="white"/>
        </w:rPr>
        <w:t xml:space="preserve">features in </w:t>
      </w:r>
      <w:r w:rsidR="00924D5D">
        <w:rPr>
          <w:highlight w:val="white"/>
        </w:rPr>
        <w:t>the analysis</w:t>
      </w:r>
      <w:r w:rsidR="00B41775">
        <w:rPr>
          <w:highlight w:val="white"/>
        </w:rPr>
        <w:t xml:space="preserve"> below</w:t>
      </w:r>
      <w:r w:rsidR="00924D5D">
        <w:rPr>
          <w:highlight w:val="white"/>
        </w:rPr>
        <w:t>.</w:t>
      </w:r>
      <w:r w:rsidR="00B81C4F">
        <w:rPr>
          <w:highlight w:val="white"/>
        </w:rPr>
        <w:t xml:space="preserve"> </w:t>
      </w:r>
    </w:p>
    <w:p w14:paraId="736BC58D" w14:textId="77777777" w:rsidR="0053382F" w:rsidRPr="00C66395" w:rsidRDefault="0053382F" w:rsidP="00C66395">
      <w:pPr>
        <w:spacing w:line="360" w:lineRule="auto"/>
        <w:ind w:firstLine="720"/>
        <w:jc w:val="both"/>
        <w:rPr>
          <w:highlight w:val="white"/>
        </w:rPr>
      </w:pPr>
    </w:p>
    <w:p w14:paraId="5022DFE7" w14:textId="361FA707" w:rsidR="00C66395" w:rsidRPr="00C66395" w:rsidRDefault="00C66395" w:rsidP="00F23FDB">
      <w:pPr>
        <w:pStyle w:val="Heading2"/>
        <w:rPr>
          <w:highlight w:val="white"/>
        </w:rPr>
      </w:pPr>
      <w:r w:rsidRPr="00C66395">
        <w:rPr>
          <w:highlight w:val="white"/>
        </w:rPr>
        <w:t> A.   Parallel Concerns: Participation and Protection within the resolutions. </w:t>
      </w:r>
    </w:p>
    <w:p w14:paraId="44C0426C" w14:textId="77777777" w:rsidR="008574B5" w:rsidRDefault="008574B5" w:rsidP="00C66395">
      <w:pPr>
        <w:spacing w:line="360" w:lineRule="auto"/>
        <w:ind w:firstLine="720"/>
        <w:jc w:val="both"/>
        <w:rPr>
          <w:highlight w:val="white"/>
        </w:rPr>
      </w:pPr>
    </w:p>
    <w:p w14:paraId="64F4876B" w14:textId="6F743C9C" w:rsidR="00C66395" w:rsidRPr="00C66395" w:rsidRDefault="00C66395" w:rsidP="00C66395">
      <w:pPr>
        <w:spacing w:line="360" w:lineRule="auto"/>
        <w:ind w:firstLine="720"/>
        <w:jc w:val="both"/>
        <w:rPr>
          <w:highlight w:val="white"/>
        </w:rPr>
      </w:pPr>
      <w:r w:rsidRPr="00C66395">
        <w:rPr>
          <w:highlight w:val="white"/>
        </w:rPr>
        <w:t xml:space="preserve">Provisions on participation and protection respectively, appear alongside but separate to each other </w:t>
      </w:r>
      <w:r w:rsidR="009C24E1">
        <w:rPr>
          <w:highlight w:val="white"/>
        </w:rPr>
        <w:t>across</w:t>
      </w:r>
      <w:r w:rsidRPr="00C66395">
        <w:rPr>
          <w:highlight w:val="white"/>
        </w:rPr>
        <w:t xml:space="preserve"> the ten WPS resolutions. A close reading of the resolutions gives clear insight into how both participation and protection are defined for the purposes of the agenda.</w:t>
      </w:r>
    </w:p>
    <w:p w14:paraId="13FC004C" w14:textId="77777777" w:rsidR="00C66395" w:rsidRPr="00C66395" w:rsidRDefault="00C66395" w:rsidP="00C66395">
      <w:pPr>
        <w:spacing w:line="360" w:lineRule="auto"/>
        <w:ind w:firstLine="720"/>
        <w:jc w:val="both"/>
        <w:rPr>
          <w:highlight w:val="white"/>
        </w:rPr>
      </w:pPr>
      <w:r w:rsidRPr="00C66395">
        <w:rPr>
          <w:highlight w:val="white"/>
        </w:rPr>
        <w:t> </w:t>
      </w:r>
    </w:p>
    <w:p w14:paraId="45A410B7" w14:textId="25B35E9F" w:rsidR="00C66395" w:rsidRPr="004F12FB" w:rsidRDefault="00C66395" w:rsidP="004F12FB">
      <w:pPr>
        <w:pStyle w:val="Heading3"/>
        <w:numPr>
          <w:ilvl w:val="0"/>
          <w:numId w:val="18"/>
        </w:numPr>
        <w:rPr>
          <w:highlight w:val="white"/>
        </w:rPr>
      </w:pPr>
      <w:r w:rsidRPr="004F12FB">
        <w:rPr>
          <w:highlight w:val="white"/>
        </w:rPr>
        <w:t>Participation in the WPS resolutions</w:t>
      </w:r>
    </w:p>
    <w:p w14:paraId="731D8BBD" w14:textId="77777777" w:rsidR="009C24E1" w:rsidRDefault="009C24E1" w:rsidP="00C66395">
      <w:pPr>
        <w:spacing w:line="360" w:lineRule="auto"/>
        <w:ind w:firstLine="720"/>
        <w:jc w:val="both"/>
        <w:rPr>
          <w:i/>
          <w:iCs/>
          <w:highlight w:val="white"/>
        </w:rPr>
      </w:pPr>
    </w:p>
    <w:p w14:paraId="422223A8" w14:textId="5F45E9B3" w:rsidR="00C66395" w:rsidRPr="00C66395" w:rsidRDefault="00C66395" w:rsidP="00C66395">
      <w:pPr>
        <w:spacing w:line="360" w:lineRule="auto"/>
        <w:ind w:firstLine="720"/>
        <w:jc w:val="both"/>
        <w:rPr>
          <w:highlight w:val="white"/>
        </w:rPr>
      </w:pPr>
      <w:r w:rsidRPr="00C66395">
        <w:rPr>
          <w:i/>
          <w:iCs/>
          <w:highlight w:val="white"/>
        </w:rPr>
        <w:t>Participation</w:t>
      </w:r>
      <w:r w:rsidRPr="00C66395">
        <w:rPr>
          <w:highlight w:val="white"/>
        </w:rPr>
        <w:t xml:space="preserve"> has become the most readily identifiable aim of the WPS agenda. The first WPS resolution, UNSCR 1325, centres the representation of women across all aspects of conflict management, resolution and response</w:t>
      </w:r>
      <w:r w:rsidR="002870D5">
        <w:rPr>
          <w:highlight w:val="white"/>
        </w:rPr>
        <w:t>. It</w:t>
      </w:r>
      <w:r w:rsidRPr="00C66395">
        <w:rPr>
          <w:highlight w:val="white"/>
        </w:rPr>
        <w:t xml:space="preserve"> establish</w:t>
      </w:r>
      <w:r w:rsidR="002870D5">
        <w:rPr>
          <w:highlight w:val="white"/>
        </w:rPr>
        <w:t xml:space="preserve">es </w:t>
      </w:r>
      <w:r w:rsidRPr="00C66395">
        <w:rPr>
          <w:highlight w:val="white"/>
        </w:rPr>
        <w:t>a clear priority for the overall agenda,</w:t>
      </w:r>
      <w:r w:rsidR="009C24E1">
        <w:rPr>
          <w:rStyle w:val="FootnoteReference"/>
          <w:highlight w:val="white"/>
        </w:rPr>
        <w:footnoteReference w:id="64"/>
      </w:r>
      <w:r w:rsidRPr="00C66395">
        <w:rPr>
          <w:highlight w:val="white"/>
        </w:rPr>
        <w:t xml:space="preserve"> </w:t>
      </w:r>
      <w:r w:rsidR="002870D5">
        <w:rPr>
          <w:highlight w:val="white"/>
        </w:rPr>
        <w:t>furt</w:t>
      </w:r>
      <w:r w:rsidRPr="00C66395">
        <w:rPr>
          <w:highlight w:val="white"/>
        </w:rPr>
        <w:t xml:space="preserve">her advanced </w:t>
      </w:r>
      <w:r w:rsidR="002870D5">
        <w:rPr>
          <w:highlight w:val="white"/>
        </w:rPr>
        <w:t>across</w:t>
      </w:r>
      <w:r w:rsidRPr="00C66395">
        <w:rPr>
          <w:highlight w:val="white"/>
        </w:rPr>
        <w:t xml:space="preserve"> the </w:t>
      </w:r>
      <w:r w:rsidR="008B046C">
        <w:rPr>
          <w:highlight w:val="white"/>
        </w:rPr>
        <w:t>subsequent</w:t>
      </w:r>
      <w:r w:rsidRPr="00C66395">
        <w:rPr>
          <w:highlight w:val="white"/>
        </w:rPr>
        <w:t xml:space="preserve"> four ‘participation’ resolutions. While women’s participation is prioritised in provisions across the WPS agenda,</w:t>
      </w:r>
      <w:r w:rsidR="00711AF8">
        <w:rPr>
          <w:rStyle w:val="FootnoteReference"/>
          <w:highlight w:val="white"/>
        </w:rPr>
        <w:footnoteReference w:id="65"/>
      </w:r>
      <w:r w:rsidRPr="00C66395">
        <w:rPr>
          <w:highlight w:val="white"/>
        </w:rPr>
        <w:t xml:space="preserve"> over time</w:t>
      </w:r>
      <w:r w:rsidR="008B046C">
        <w:rPr>
          <w:highlight w:val="white"/>
        </w:rPr>
        <w:t>,</w:t>
      </w:r>
      <w:r w:rsidRPr="00C66395">
        <w:rPr>
          <w:highlight w:val="white"/>
        </w:rPr>
        <w:t xml:space="preserve"> the related rhetoric, literature and policy dialogue has become increasingly associated with women’s participation in peace processes.</w:t>
      </w:r>
    </w:p>
    <w:p w14:paraId="7F186102" w14:textId="2673A440" w:rsidR="009C24E1" w:rsidRDefault="00C66395" w:rsidP="00C66395">
      <w:pPr>
        <w:spacing w:line="360" w:lineRule="auto"/>
        <w:ind w:firstLine="720"/>
        <w:jc w:val="both"/>
        <w:rPr>
          <w:highlight w:val="white"/>
        </w:rPr>
      </w:pPr>
      <w:r w:rsidRPr="00C66395">
        <w:rPr>
          <w:highlight w:val="white"/>
        </w:rPr>
        <w:t xml:space="preserve">There are three notable </w:t>
      </w:r>
      <w:r w:rsidR="002870D5">
        <w:rPr>
          <w:highlight w:val="white"/>
        </w:rPr>
        <w:t xml:space="preserve">related </w:t>
      </w:r>
      <w:r w:rsidRPr="00C66395">
        <w:rPr>
          <w:highlight w:val="white"/>
        </w:rPr>
        <w:t xml:space="preserve">trends in </w:t>
      </w:r>
      <w:r w:rsidR="002870D5">
        <w:rPr>
          <w:highlight w:val="white"/>
        </w:rPr>
        <w:t>this regard</w:t>
      </w:r>
      <w:r w:rsidRPr="00C66395">
        <w:rPr>
          <w:highlight w:val="white"/>
        </w:rPr>
        <w:t xml:space="preserve">. The first is </w:t>
      </w:r>
      <w:r w:rsidR="002870D5">
        <w:rPr>
          <w:highlight w:val="white"/>
        </w:rPr>
        <w:t>that</w:t>
      </w:r>
      <w:r w:rsidRPr="00C66395">
        <w:rPr>
          <w:highlight w:val="white"/>
        </w:rPr>
        <w:t xml:space="preserve"> </w:t>
      </w:r>
      <w:r w:rsidR="008B046C">
        <w:rPr>
          <w:highlight w:val="white"/>
        </w:rPr>
        <w:t xml:space="preserve">much </w:t>
      </w:r>
      <w:r w:rsidR="002870D5">
        <w:rPr>
          <w:highlight w:val="white"/>
        </w:rPr>
        <w:t xml:space="preserve">activity under the resolutions is directed </w:t>
      </w:r>
      <w:r w:rsidRPr="00C66395">
        <w:rPr>
          <w:highlight w:val="white"/>
        </w:rPr>
        <w:t xml:space="preserve">primarily towards participation in </w:t>
      </w:r>
      <w:r w:rsidRPr="2FE8927B">
        <w:rPr>
          <w:i/>
          <w:iCs/>
          <w:highlight w:val="white"/>
        </w:rPr>
        <w:t>formal</w:t>
      </w:r>
      <w:r w:rsidRPr="00C66395">
        <w:rPr>
          <w:highlight w:val="white"/>
        </w:rPr>
        <w:t xml:space="preserve"> peace processes, including </w:t>
      </w:r>
      <w:r w:rsidRPr="00C66395">
        <w:rPr>
          <w:highlight w:val="white"/>
        </w:rPr>
        <w:lastRenderedPageBreak/>
        <w:t xml:space="preserve">mediation, negotiation and post-conflict implementation. This impacts the nature of participation and the types of women who can be expected to participate. </w:t>
      </w:r>
      <w:r w:rsidR="00051E9C">
        <w:rPr>
          <w:highlight w:val="white"/>
        </w:rPr>
        <w:t>OPs</w:t>
      </w:r>
      <w:r w:rsidRPr="00C66395">
        <w:rPr>
          <w:highlight w:val="white"/>
        </w:rPr>
        <w:t xml:space="preserve"> have focused on the ways that women can be supported to participate in these processes</w:t>
      </w:r>
      <w:r w:rsidR="00051E9C">
        <w:rPr>
          <w:highlight w:val="white"/>
        </w:rPr>
        <w:t xml:space="preserve">. This is evident in </w:t>
      </w:r>
      <w:r w:rsidRPr="00C66395">
        <w:rPr>
          <w:highlight w:val="white"/>
        </w:rPr>
        <w:t>example</w:t>
      </w:r>
      <w:r w:rsidR="00051E9C">
        <w:rPr>
          <w:highlight w:val="white"/>
        </w:rPr>
        <w:t xml:space="preserve">s where </w:t>
      </w:r>
      <w:r w:rsidRPr="00C66395">
        <w:rPr>
          <w:highlight w:val="white"/>
        </w:rPr>
        <w:t xml:space="preserve">mediation support actors </w:t>
      </w:r>
      <w:r w:rsidR="00051E9C">
        <w:rPr>
          <w:highlight w:val="white"/>
        </w:rPr>
        <w:t xml:space="preserve">are called on </w:t>
      </w:r>
      <w:r w:rsidRPr="00C66395">
        <w:rPr>
          <w:highlight w:val="white"/>
        </w:rPr>
        <w:t xml:space="preserve">to </w:t>
      </w:r>
      <w:r w:rsidR="009C24E1">
        <w:rPr>
          <w:highlight w:val="white"/>
        </w:rPr>
        <w:t>‘</w:t>
      </w:r>
      <w:r w:rsidRPr="00C66395">
        <w:rPr>
          <w:highlight w:val="white"/>
        </w:rPr>
        <w:t>facilitate women’s meaningful inclusion</w:t>
      </w:r>
      <w:r w:rsidR="00051E9C">
        <w:rPr>
          <w:highlight w:val="white"/>
        </w:rPr>
        <w:t>,</w:t>
      </w:r>
      <w:r w:rsidR="009C24E1">
        <w:rPr>
          <w:highlight w:val="white"/>
        </w:rPr>
        <w:t>’</w:t>
      </w:r>
      <w:r w:rsidRPr="00C66395">
        <w:rPr>
          <w:highlight w:val="white"/>
        </w:rPr>
        <w:t xml:space="preserve"> or provid</w:t>
      </w:r>
      <w:r w:rsidR="00051E9C">
        <w:rPr>
          <w:highlight w:val="white"/>
        </w:rPr>
        <w:t>e</w:t>
      </w:r>
      <w:r w:rsidRPr="00C66395">
        <w:rPr>
          <w:highlight w:val="white"/>
        </w:rPr>
        <w:t xml:space="preserve"> </w:t>
      </w:r>
      <w:r w:rsidR="009C24E1">
        <w:rPr>
          <w:highlight w:val="white"/>
        </w:rPr>
        <w:t>‘</w:t>
      </w:r>
      <w:r w:rsidRPr="00C66395">
        <w:rPr>
          <w:highlight w:val="white"/>
        </w:rPr>
        <w:t>financial and technical assistance to women</w:t>
      </w:r>
      <w:r w:rsidR="00051E9C">
        <w:rPr>
          <w:highlight w:val="white"/>
        </w:rPr>
        <w:t>,</w:t>
      </w:r>
      <w:r w:rsidR="009C24E1">
        <w:rPr>
          <w:highlight w:val="white"/>
        </w:rPr>
        <w:t>’</w:t>
      </w:r>
      <w:r w:rsidRPr="00C66395">
        <w:rPr>
          <w:highlight w:val="white"/>
        </w:rPr>
        <w:t xml:space="preserve"> </w:t>
      </w:r>
      <w:r w:rsidR="00051E9C">
        <w:rPr>
          <w:highlight w:val="white"/>
        </w:rPr>
        <w:t>or</w:t>
      </w:r>
      <w:r w:rsidRPr="00C66395">
        <w:rPr>
          <w:highlight w:val="white"/>
        </w:rPr>
        <w:t xml:space="preserve"> provide </w:t>
      </w:r>
      <w:r w:rsidR="009C24E1">
        <w:rPr>
          <w:highlight w:val="white"/>
        </w:rPr>
        <w:t>‘</w:t>
      </w:r>
      <w:r w:rsidRPr="00C66395">
        <w:rPr>
          <w:highlight w:val="white"/>
        </w:rPr>
        <w:t>support and training to mediators and technical teams on the impact of women’s participation</w:t>
      </w:r>
      <w:r w:rsidR="009C24E1">
        <w:rPr>
          <w:highlight w:val="white"/>
        </w:rPr>
        <w:t>’</w:t>
      </w:r>
      <w:r w:rsidRPr="00C66395">
        <w:rPr>
          <w:highlight w:val="white"/>
        </w:rPr>
        <w:t>.</w:t>
      </w:r>
      <w:r w:rsidR="009C24E1">
        <w:rPr>
          <w:rStyle w:val="FootnoteReference"/>
          <w:highlight w:val="white"/>
        </w:rPr>
        <w:footnoteReference w:id="66"/>
      </w:r>
      <w:r w:rsidRPr="00C66395">
        <w:rPr>
          <w:highlight w:val="white"/>
        </w:rPr>
        <w:t xml:space="preserve"> </w:t>
      </w:r>
    </w:p>
    <w:p w14:paraId="32BEC271" w14:textId="440698F7" w:rsidR="00C66395" w:rsidRPr="00C66395" w:rsidRDefault="00C66395" w:rsidP="00C66395">
      <w:pPr>
        <w:spacing w:line="360" w:lineRule="auto"/>
        <w:ind w:firstLine="720"/>
        <w:jc w:val="both"/>
        <w:rPr>
          <w:highlight w:val="white"/>
        </w:rPr>
      </w:pPr>
      <w:r w:rsidRPr="00C66395">
        <w:rPr>
          <w:highlight w:val="white"/>
        </w:rPr>
        <w:t xml:space="preserve">The </w:t>
      </w:r>
      <w:r w:rsidRPr="00F366A5">
        <w:rPr>
          <w:highlight w:val="white"/>
        </w:rPr>
        <w:t>second</w:t>
      </w:r>
      <w:r w:rsidRPr="00C66395">
        <w:rPr>
          <w:highlight w:val="white"/>
        </w:rPr>
        <w:t xml:space="preserve"> trend </w:t>
      </w:r>
      <w:r w:rsidR="00A046E4">
        <w:rPr>
          <w:highlight w:val="white"/>
        </w:rPr>
        <w:t>appears</w:t>
      </w:r>
      <w:r w:rsidR="002870D5">
        <w:rPr>
          <w:highlight w:val="white"/>
        </w:rPr>
        <w:t xml:space="preserve"> </w:t>
      </w:r>
      <w:r w:rsidRPr="00C66395">
        <w:rPr>
          <w:highlight w:val="white"/>
        </w:rPr>
        <w:t>in more recent resolutions</w:t>
      </w:r>
      <w:r w:rsidR="002870D5">
        <w:rPr>
          <w:highlight w:val="white"/>
        </w:rPr>
        <w:t xml:space="preserve"> and l</w:t>
      </w:r>
      <w:r w:rsidRPr="00C66395">
        <w:rPr>
          <w:highlight w:val="white"/>
        </w:rPr>
        <w:t>ink</w:t>
      </w:r>
      <w:r w:rsidR="002870D5">
        <w:rPr>
          <w:highlight w:val="white"/>
        </w:rPr>
        <w:t>s</w:t>
      </w:r>
      <w:r w:rsidRPr="00C66395">
        <w:rPr>
          <w:highlight w:val="white"/>
        </w:rPr>
        <w:t xml:space="preserve"> women’s participation with leadership, framing women as leaders. Three of the five participation resolutions call on the UN Secretary General to increase the number of women being appointed as envoys or to high level positions in mediation teams.</w:t>
      </w:r>
      <w:r w:rsidR="009C24E1">
        <w:rPr>
          <w:rStyle w:val="FootnoteReference"/>
          <w:highlight w:val="white"/>
        </w:rPr>
        <w:footnoteReference w:id="67"/>
      </w:r>
      <w:r w:rsidRPr="00C66395">
        <w:rPr>
          <w:highlight w:val="white"/>
        </w:rPr>
        <w:t xml:space="preserve"> More specifically, UNSCR 2122 draws attention to women’s leadership and participation in conflict resolution.</w:t>
      </w:r>
      <w:r w:rsidR="009C24E1">
        <w:rPr>
          <w:rStyle w:val="FootnoteReference"/>
          <w:highlight w:val="white"/>
        </w:rPr>
        <w:footnoteReference w:id="68"/>
      </w:r>
      <w:r w:rsidRPr="00C66395">
        <w:rPr>
          <w:highlight w:val="white"/>
        </w:rPr>
        <w:t xml:space="preserve"> </w:t>
      </w:r>
      <w:r w:rsidR="009C24E1">
        <w:rPr>
          <w:highlight w:val="white"/>
        </w:rPr>
        <w:t>The</w:t>
      </w:r>
      <w:r w:rsidRPr="00C66395">
        <w:rPr>
          <w:highlight w:val="white"/>
        </w:rPr>
        <w:t xml:space="preserve"> trend towards </w:t>
      </w:r>
      <w:r w:rsidR="00B93E31" w:rsidRPr="00C66395">
        <w:rPr>
          <w:highlight w:val="white"/>
        </w:rPr>
        <w:t>centring</w:t>
      </w:r>
      <w:r w:rsidRPr="00C66395">
        <w:rPr>
          <w:highlight w:val="white"/>
        </w:rPr>
        <w:t xml:space="preserve"> leadership in participation is also reflected in more recent reports on enhancing women’s participation in peace processes.</w:t>
      </w:r>
      <w:r w:rsidR="009C24E1">
        <w:rPr>
          <w:rStyle w:val="FootnoteReference"/>
          <w:highlight w:val="white"/>
        </w:rPr>
        <w:footnoteReference w:id="69"/>
      </w:r>
      <w:r w:rsidRPr="00C66395">
        <w:rPr>
          <w:highlight w:val="white"/>
        </w:rPr>
        <w:t xml:space="preserve"> In this way</w:t>
      </w:r>
      <w:r w:rsidR="00B93E31">
        <w:rPr>
          <w:highlight w:val="white"/>
        </w:rPr>
        <w:t>,</w:t>
      </w:r>
      <w:r w:rsidRPr="00C66395">
        <w:rPr>
          <w:highlight w:val="white"/>
        </w:rPr>
        <w:t xml:space="preserve"> women’s participation </w:t>
      </w:r>
      <w:r w:rsidR="002870D5">
        <w:rPr>
          <w:highlight w:val="white"/>
        </w:rPr>
        <w:t>and i</w:t>
      </w:r>
      <w:r w:rsidRPr="00C66395">
        <w:rPr>
          <w:highlight w:val="white"/>
        </w:rPr>
        <w:t xml:space="preserve">ncreasing the numbers of women in leadership positions in peace and security </w:t>
      </w:r>
      <w:r w:rsidR="009C24E1">
        <w:rPr>
          <w:highlight w:val="white"/>
        </w:rPr>
        <w:t xml:space="preserve">is estimated to </w:t>
      </w:r>
      <w:r w:rsidRPr="00C66395">
        <w:rPr>
          <w:highlight w:val="white"/>
        </w:rPr>
        <w:t xml:space="preserve">contribute to overall </w:t>
      </w:r>
      <w:r w:rsidR="002870D5">
        <w:rPr>
          <w:highlight w:val="white"/>
        </w:rPr>
        <w:t xml:space="preserve">institutional </w:t>
      </w:r>
      <w:r w:rsidRPr="00C66395">
        <w:rPr>
          <w:highlight w:val="white"/>
        </w:rPr>
        <w:t xml:space="preserve">strategies to improve gender </w:t>
      </w:r>
      <w:r w:rsidR="002870D5">
        <w:rPr>
          <w:highlight w:val="white"/>
        </w:rPr>
        <w:t xml:space="preserve">parity </w:t>
      </w:r>
      <w:r w:rsidRPr="00C66395">
        <w:rPr>
          <w:highlight w:val="white"/>
        </w:rPr>
        <w:t>at the UN itself.</w:t>
      </w:r>
      <w:r w:rsidR="009C24E1">
        <w:rPr>
          <w:rStyle w:val="FootnoteReference"/>
          <w:highlight w:val="white"/>
        </w:rPr>
        <w:footnoteReference w:id="70"/>
      </w:r>
    </w:p>
    <w:p w14:paraId="4AED7F4B" w14:textId="21820B0D" w:rsidR="00C66395" w:rsidRPr="00C66395" w:rsidRDefault="00C66395" w:rsidP="00F340B0">
      <w:pPr>
        <w:spacing w:line="360" w:lineRule="auto"/>
        <w:ind w:firstLine="720"/>
        <w:jc w:val="both"/>
        <w:rPr>
          <w:highlight w:val="white"/>
        </w:rPr>
      </w:pPr>
      <w:r w:rsidRPr="00C66395">
        <w:rPr>
          <w:highlight w:val="white"/>
        </w:rPr>
        <w:t>The third</w:t>
      </w:r>
      <w:r w:rsidRPr="00C66395">
        <w:rPr>
          <w:i/>
          <w:iCs/>
          <w:highlight w:val="white"/>
        </w:rPr>
        <w:t xml:space="preserve"> </w:t>
      </w:r>
      <w:r w:rsidRPr="00C66395">
        <w:rPr>
          <w:highlight w:val="white"/>
        </w:rPr>
        <w:t xml:space="preserve">trend is </w:t>
      </w:r>
      <w:r w:rsidR="00B93E31">
        <w:rPr>
          <w:highlight w:val="white"/>
        </w:rPr>
        <w:t>the growing</w:t>
      </w:r>
      <w:r w:rsidRPr="00C66395">
        <w:rPr>
          <w:highlight w:val="white"/>
        </w:rPr>
        <w:t xml:space="preserve"> acknowledgment of the value of the work of women’s organisations and networks. The resolutions acknowledge how this work advances women’s participation. UNSCR 2122 </w:t>
      </w:r>
      <w:r w:rsidR="009C24E1">
        <w:rPr>
          <w:highlight w:val="white"/>
        </w:rPr>
        <w:t>for example</w:t>
      </w:r>
      <w:r w:rsidRPr="00C66395">
        <w:rPr>
          <w:highlight w:val="white"/>
        </w:rPr>
        <w:t xml:space="preserve"> calls on member states to </w:t>
      </w:r>
      <w:r w:rsidR="009C24E1">
        <w:rPr>
          <w:highlight w:val="white"/>
        </w:rPr>
        <w:t>‘</w:t>
      </w:r>
      <w:r w:rsidRPr="00C66395">
        <w:rPr>
          <w:highlight w:val="white"/>
        </w:rPr>
        <w:t>take note of the critical contributions of civil society, including women’s organisations to conflict prevention, resolution and peacebuilding and in this regard the importance of sustained consultation and dialogue between women and international decision makers</w:t>
      </w:r>
      <w:r w:rsidR="009C24E1">
        <w:rPr>
          <w:highlight w:val="white"/>
        </w:rPr>
        <w:t>…’</w:t>
      </w:r>
      <w:r w:rsidRPr="00C66395">
        <w:rPr>
          <w:highlight w:val="white"/>
        </w:rPr>
        <w:t>.</w:t>
      </w:r>
      <w:r w:rsidR="009C24E1">
        <w:rPr>
          <w:rStyle w:val="FootnoteReference"/>
          <w:highlight w:val="white"/>
        </w:rPr>
        <w:footnoteReference w:id="71"/>
      </w:r>
    </w:p>
    <w:p w14:paraId="14394554" w14:textId="19A17028" w:rsidR="00C66395" w:rsidRPr="00C66395" w:rsidRDefault="00B93E31" w:rsidP="00C66395">
      <w:pPr>
        <w:spacing w:line="360" w:lineRule="auto"/>
        <w:ind w:firstLine="720"/>
        <w:jc w:val="both"/>
        <w:rPr>
          <w:highlight w:val="white"/>
        </w:rPr>
      </w:pPr>
      <w:r>
        <w:rPr>
          <w:highlight w:val="white"/>
        </w:rPr>
        <w:t>W</w:t>
      </w:r>
      <w:r w:rsidR="00C66395" w:rsidRPr="00C66395">
        <w:rPr>
          <w:highlight w:val="white"/>
        </w:rPr>
        <w:t xml:space="preserve">hile there has been a tendency </w:t>
      </w:r>
      <w:r w:rsidR="00D57EC2">
        <w:rPr>
          <w:highlight w:val="white"/>
        </w:rPr>
        <w:t>for</w:t>
      </w:r>
      <w:r w:rsidR="00C66395" w:rsidRPr="00C66395">
        <w:rPr>
          <w:highlight w:val="white"/>
        </w:rPr>
        <w:t xml:space="preserve"> participation in formal peace processes </w:t>
      </w:r>
      <w:r w:rsidR="00D57EC2">
        <w:rPr>
          <w:highlight w:val="white"/>
        </w:rPr>
        <w:t xml:space="preserve">to predominate </w:t>
      </w:r>
      <w:r w:rsidR="00C66395" w:rsidRPr="00C66395">
        <w:rPr>
          <w:highlight w:val="white"/>
        </w:rPr>
        <w:t xml:space="preserve">in research and policy, </w:t>
      </w:r>
      <w:r w:rsidR="00D57EC2">
        <w:rPr>
          <w:highlight w:val="white"/>
        </w:rPr>
        <w:t>in</w:t>
      </w:r>
      <w:r w:rsidR="00C66395" w:rsidRPr="00C66395">
        <w:rPr>
          <w:highlight w:val="white"/>
        </w:rPr>
        <w:t xml:space="preserve"> the resolutions </w:t>
      </w:r>
      <w:r w:rsidR="00D57EC2">
        <w:rPr>
          <w:highlight w:val="white"/>
        </w:rPr>
        <w:t xml:space="preserve">themselves, </w:t>
      </w:r>
      <w:r w:rsidR="00C66395" w:rsidRPr="00C66395">
        <w:rPr>
          <w:highlight w:val="white"/>
        </w:rPr>
        <w:t xml:space="preserve">participation </w:t>
      </w:r>
      <w:r w:rsidR="00C66395" w:rsidRPr="00C66395">
        <w:rPr>
          <w:i/>
          <w:iCs/>
          <w:highlight w:val="white"/>
        </w:rPr>
        <w:t>per se</w:t>
      </w:r>
      <w:r w:rsidR="00C66395" w:rsidRPr="00C66395">
        <w:rPr>
          <w:highlight w:val="white"/>
        </w:rPr>
        <w:t xml:space="preserve"> extends beyond this space. For example, UNSCR 1820, a </w:t>
      </w:r>
      <w:r w:rsidR="009C24E1">
        <w:rPr>
          <w:highlight w:val="white"/>
        </w:rPr>
        <w:t xml:space="preserve">‘protection’ </w:t>
      </w:r>
      <w:r w:rsidR="00C66395" w:rsidRPr="00C66395">
        <w:rPr>
          <w:highlight w:val="white"/>
        </w:rPr>
        <w:t xml:space="preserve">resolution, emphasises that participation requires </w:t>
      </w:r>
      <w:r w:rsidR="00C66395" w:rsidRPr="00C66395">
        <w:rPr>
          <w:highlight w:val="white"/>
        </w:rPr>
        <w:lastRenderedPageBreak/>
        <w:t xml:space="preserve">women’s </w:t>
      </w:r>
      <w:r w:rsidR="009C24E1">
        <w:rPr>
          <w:highlight w:val="white"/>
        </w:rPr>
        <w:t>‘</w:t>
      </w:r>
      <w:r w:rsidR="00C66395" w:rsidRPr="00C66395">
        <w:rPr>
          <w:highlight w:val="white"/>
        </w:rPr>
        <w:t>equal participation and full involvement in all efforts for the maintenance and promotion of peace and security</w:t>
      </w:r>
      <w:r w:rsidR="009C24E1">
        <w:rPr>
          <w:highlight w:val="white"/>
        </w:rPr>
        <w:t>’.</w:t>
      </w:r>
      <w:r w:rsidR="009C24E1">
        <w:rPr>
          <w:rStyle w:val="FootnoteReference"/>
          <w:highlight w:val="white"/>
        </w:rPr>
        <w:footnoteReference w:id="72"/>
      </w:r>
      <w:r w:rsidR="00C66395" w:rsidRPr="00C66395">
        <w:rPr>
          <w:highlight w:val="white"/>
        </w:rPr>
        <w:t xml:space="preserve"> This has been interpreted to, inter alia, include efforts to increase the number of women in peacekeeping</w:t>
      </w:r>
      <w:r w:rsidR="00D75402">
        <w:rPr>
          <w:highlight w:val="white"/>
        </w:rPr>
        <w:t>,</w:t>
      </w:r>
      <w:r w:rsidR="00C66395" w:rsidRPr="00C66395">
        <w:rPr>
          <w:highlight w:val="white"/>
        </w:rPr>
        <w:t xml:space="preserve"> which recently has been reinforced by the UNSG’s parity strategy and the adoption of UNSCR 2538.</w:t>
      </w:r>
      <w:r w:rsidR="009C24E1">
        <w:rPr>
          <w:rStyle w:val="FootnoteReference"/>
          <w:highlight w:val="white"/>
        </w:rPr>
        <w:footnoteReference w:id="73"/>
      </w:r>
      <w:r w:rsidR="00C66395" w:rsidRPr="00C66395">
        <w:rPr>
          <w:highlight w:val="white"/>
        </w:rPr>
        <w:t> </w:t>
      </w:r>
    </w:p>
    <w:p w14:paraId="585171BF" w14:textId="63DA6172" w:rsidR="00C66395" w:rsidRPr="00C66395" w:rsidRDefault="00C66395" w:rsidP="00711AF8">
      <w:pPr>
        <w:spacing w:line="360" w:lineRule="auto"/>
        <w:ind w:firstLine="720"/>
        <w:jc w:val="both"/>
        <w:rPr>
          <w:highlight w:val="white"/>
        </w:rPr>
      </w:pPr>
      <w:r w:rsidRPr="00C66395">
        <w:rPr>
          <w:highlight w:val="white"/>
        </w:rPr>
        <w:t xml:space="preserve">In addition to pillar-specific provisions, the textual analysis also reveals attention within the ten resolutions to a range of </w:t>
      </w:r>
      <w:r w:rsidR="009C24E1">
        <w:rPr>
          <w:highlight w:val="white"/>
        </w:rPr>
        <w:t>‘</w:t>
      </w:r>
      <w:r w:rsidRPr="00C66395">
        <w:rPr>
          <w:highlight w:val="white"/>
        </w:rPr>
        <w:t>non-pillar</w:t>
      </w:r>
      <w:r w:rsidR="009C24E1">
        <w:rPr>
          <w:highlight w:val="white"/>
        </w:rPr>
        <w:t>’</w:t>
      </w:r>
      <w:r w:rsidRPr="00C66395">
        <w:rPr>
          <w:highlight w:val="white"/>
        </w:rPr>
        <w:t xml:space="preserve"> provisions</w:t>
      </w:r>
      <w:r w:rsidR="009C24E1">
        <w:rPr>
          <w:rStyle w:val="FootnoteReference"/>
          <w:highlight w:val="white"/>
        </w:rPr>
        <w:footnoteReference w:id="74"/>
      </w:r>
      <w:r w:rsidRPr="00C66395">
        <w:rPr>
          <w:highlight w:val="white"/>
        </w:rPr>
        <w:t xml:space="preserve"> that advance participation across all aspects of peace and security governance and related initiatives. This extends the reach of participation beyond the headline peace processes and peacekeeping initiatives. In all, </w:t>
      </w:r>
      <w:r w:rsidR="009C24E1">
        <w:rPr>
          <w:highlight w:val="white"/>
        </w:rPr>
        <w:t xml:space="preserve">a close reading of the WPS resolutions shows that </w:t>
      </w:r>
      <w:r w:rsidR="00D75402">
        <w:rPr>
          <w:highlight w:val="white"/>
        </w:rPr>
        <w:t xml:space="preserve">in the texts themselves, </w:t>
      </w:r>
      <w:r w:rsidRPr="00C66395">
        <w:rPr>
          <w:highlight w:val="white"/>
        </w:rPr>
        <w:t xml:space="preserve">provisions for or references to </w:t>
      </w:r>
      <w:r w:rsidRPr="00C66395">
        <w:rPr>
          <w:i/>
          <w:iCs/>
          <w:highlight w:val="white"/>
        </w:rPr>
        <w:t>women’s participation</w:t>
      </w:r>
      <w:r w:rsidRPr="00C66395">
        <w:rPr>
          <w:highlight w:val="white"/>
        </w:rPr>
        <w:t xml:space="preserve"> appear not just in relation to peace processes, but also </w:t>
      </w:r>
      <w:r w:rsidR="00D75402">
        <w:rPr>
          <w:highlight w:val="white"/>
        </w:rPr>
        <w:t>in respect to</w:t>
      </w:r>
      <w:r w:rsidRPr="00C66395">
        <w:rPr>
          <w:highlight w:val="white"/>
        </w:rPr>
        <w:t xml:space="preserve"> public life in conflict and post-conflict states. This includes </w:t>
      </w:r>
      <w:r w:rsidR="00830DB5">
        <w:rPr>
          <w:highlight w:val="white"/>
        </w:rPr>
        <w:t>for example</w:t>
      </w:r>
      <w:r w:rsidR="00654DCE">
        <w:rPr>
          <w:highlight w:val="white"/>
        </w:rPr>
        <w:t>, women’s participation in</w:t>
      </w:r>
      <w:r w:rsidRPr="00C66395">
        <w:rPr>
          <w:highlight w:val="white"/>
        </w:rPr>
        <w:t xml:space="preserve"> elections and formal politics, in economic decision-making, as well as in justice and security, including transitional justice. It also includes wider peacebuilding activities such as in disarmament, demobilization and reintegration (DDR) processes, the delivery of humanitarian aid and in response to violent extremism and the illicit use of arms.</w:t>
      </w:r>
    </w:p>
    <w:p w14:paraId="47858C85" w14:textId="66B26BC7" w:rsidR="00C66395" w:rsidRPr="00C66395" w:rsidRDefault="00C66395" w:rsidP="00C66395">
      <w:pPr>
        <w:spacing w:line="360" w:lineRule="auto"/>
        <w:ind w:firstLine="720"/>
        <w:jc w:val="both"/>
        <w:rPr>
          <w:highlight w:val="white"/>
        </w:rPr>
      </w:pPr>
      <w:r w:rsidRPr="00C66395">
        <w:rPr>
          <w:highlight w:val="white"/>
        </w:rPr>
        <w:t xml:space="preserve">Finally, </w:t>
      </w:r>
      <w:r w:rsidR="008F4EF6">
        <w:rPr>
          <w:highlight w:val="white"/>
        </w:rPr>
        <w:t xml:space="preserve">the </w:t>
      </w:r>
      <w:r w:rsidRPr="00C66395">
        <w:rPr>
          <w:highlight w:val="white"/>
        </w:rPr>
        <w:t>textual analysis reveal</w:t>
      </w:r>
      <w:r w:rsidR="008F4EF6">
        <w:rPr>
          <w:highlight w:val="white"/>
        </w:rPr>
        <w:t>ed</w:t>
      </w:r>
      <w:r w:rsidRPr="00C66395">
        <w:rPr>
          <w:highlight w:val="white"/>
        </w:rPr>
        <w:t xml:space="preserve"> a dual concern with participation as both women’s presence– or descriptive representation – in positions of peace and security</w:t>
      </w:r>
      <w:r w:rsidR="000F73A4">
        <w:rPr>
          <w:highlight w:val="white"/>
        </w:rPr>
        <w:t>-</w:t>
      </w:r>
      <w:r w:rsidRPr="00C66395">
        <w:rPr>
          <w:highlight w:val="white"/>
        </w:rPr>
        <w:t>related decision making, as well as the inclusion of women’s rights on security agendas.</w:t>
      </w:r>
      <w:r w:rsidR="008F4EF6">
        <w:rPr>
          <w:rStyle w:val="FootnoteReference"/>
          <w:highlight w:val="white"/>
        </w:rPr>
        <w:footnoteReference w:id="75"/>
      </w:r>
      <w:r w:rsidRPr="00C66395">
        <w:rPr>
          <w:highlight w:val="white"/>
        </w:rPr>
        <w:t xml:space="preserve"> Again, UNSCR 2122 recognises </w:t>
      </w:r>
      <w:r w:rsidR="008F4EF6">
        <w:rPr>
          <w:highlight w:val="white"/>
        </w:rPr>
        <w:t>‘</w:t>
      </w:r>
      <w:r w:rsidRPr="00C66395">
        <w:rPr>
          <w:highlight w:val="white"/>
        </w:rPr>
        <w:t>the continuing need to increase women’s participation and the consideration of gender-related issues in all discussions pertinent to the prevention and resolution of armed conflict</w:t>
      </w:r>
      <w:r w:rsidR="008F4EF6">
        <w:rPr>
          <w:highlight w:val="white"/>
        </w:rPr>
        <w:t>’.</w:t>
      </w:r>
      <w:r w:rsidR="008F4EF6">
        <w:rPr>
          <w:rStyle w:val="FootnoteReference"/>
          <w:highlight w:val="white"/>
        </w:rPr>
        <w:footnoteReference w:id="76"/>
      </w:r>
      <w:r w:rsidRPr="00C66395">
        <w:rPr>
          <w:highlight w:val="white"/>
        </w:rPr>
        <w:t xml:space="preserve"> While not explicitly linked, this text begins to hint at connections between women’s participation and protection of their rights.</w:t>
      </w:r>
    </w:p>
    <w:p w14:paraId="696CA5E0" w14:textId="77777777" w:rsidR="00C66395" w:rsidRPr="00C66395" w:rsidRDefault="00C66395" w:rsidP="00C66395">
      <w:pPr>
        <w:spacing w:line="360" w:lineRule="auto"/>
        <w:ind w:firstLine="720"/>
        <w:jc w:val="both"/>
        <w:rPr>
          <w:highlight w:val="white"/>
        </w:rPr>
      </w:pPr>
      <w:r w:rsidRPr="00C66395">
        <w:rPr>
          <w:highlight w:val="white"/>
        </w:rPr>
        <w:t> </w:t>
      </w:r>
    </w:p>
    <w:p w14:paraId="0824813B" w14:textId="3504732B" w:rsidR="00C66395" w:rsidRPr="00C66395" w:rsidRDefault="00C66395" w:rsidP="004F12FB">
      <w:pPr>
        <w:pStyle w:val="Heading3"/>
        <w:numPr>
          <w:ilvl w:val="0"/>
          <w:numId w:val="18"/>
        </w:numPr>
        <w:rPr>
          <w:highlight w:val="white"/>
        </w:rPr>
      </w:pPr>
      <w:r w:rsidRPr="00C66395">
        <w:rPr>
          <w:highlight w:val="white"/>
        </w:rPr>
        <w:t>Protection in the WPS resolutions</w:t>
      </w:r>
    </w:p>
    <w:p w14:paraId="7B7E7BC3" w14:textId="77777777" w:rsidR="00C66395" w:rsidRPr="00C66395" w:rsidRDefault="00C66395" w:rsidP="00C66395">
      <w:pPr>
        <w:spacing w:line="360" w:lineRule="auto"/>
        <w:ind w:firstLine="720"/>
        <w:jc w:val="both"/>
        <w:rPr>
          <w:highlight w:val="white"/>
        </w:rPr>
      </w:pPr>
      <w:r w:rsidRPr="00C66395">
        <w:rPr>
          <w:highlight w:val="white"/>
        </w:rPr>
        <w:t> </w:t>
      </w:r>
    </w:p>
    <w:p w14:paraId="3E5EE50C" w14:textId="3D70EC5D" w:rsidR="00C66395" w:rsidRPr="00C66395" w:rsidRDefault="00C66395" w:rsidP="00C66395">
      <w:pPr>
        <w:spacing w:line="360" w:lineRule="auto"/>
        <w:ind w:firstLine="720"/>
        <w:jc w:val="both"/>
        <w:rPr>
          <w:highlight w:val="white"/>
        </w:rPr>
      </w:pPr>
      <w:r w:rsidRPr="2FE8927B">
        <w:rPr>
          <w:i/>
          <w:iCs/>
          <w:highlight w:val="white"/>
        </w:rPr>
        <w:t>Protection</w:t>
      </w:r>
      <w:r w:rsidRPr="00C66395">
        <w:rPr>
          <w:highlight w:val="white"/>
        </w:rPr>
        <w:t xml:space="preserve"> across the ten resolutions has largely focused on violations of women’s human rights and of humanitarian law by armed </w:t>
      </w:r>
      <w:proofErr w:type="gramStart"/>
      <w:r w:rsidRPr="00C66395">
        <w:rPr>
          <w:highlight w:val="white"/>
        </w:rPr>
        <w:t xml:space="preserve">actors, </w:t>
      </w:r>
      <w:r w:rsidR="0045799C">
        <w:rPr>
          <w:highlight w:val="white"/>
        </w:rPr>
        <w:t xml:space="preserve"> </w:t>
      </w:r>
      <w:r w:rsidRPr="00C66395">
        <w:rPr>
          <w:highlight w:val="white"/>
        </w:rPr>
        <w:t>primarily</w:t>
      </w:r>
      <w:proofErr w:type="gramEnd"/>
      <w:r w:rsidRPr="00C66395">
        <w:rPr>
          <w:highlight w:val="white"/>
        </w:rPr>
        <w:t xml:space="preserve"> </w:t>
      </w:r>
      <w:r w:rsidR="0045799C">
        <w:rPr>
          <w:highlight w:val="white"/>
        </w:rPr>
        <w:t xml:space="preserve">on </w:t>
      </w:r>
      <w:r w:rsidR="00D61C04">
        <w:rPr>
          <w:highlight w:val="white"/>
        </w:rPr>
        <w:t xml:space="preserve">conflict-related sexual violence </w:t>
      </w:r>
      <w:r w:rsidR="00D61C04">
        <w:rPr>
          <w:highlight w:val="white"/>
        </w:rPr>
        <w:lastRenderedPageBreak/>
        <w:t>(</w:t>
      </w:r>
      <w:r w:rsidRPr="00C66395">
        <w:rPr>
          <w:highlight w:val="white"/>
        </w:rPr>
        <w:t>CRSV</w:t>
      </w:r>
      <w:r w:rsidR="00D61C04">
        <w:rPr>
          <w:highlight w:val="white"/>
        </w:rPr>
        <w:t>)</w:t>
      </w:r>
      <w:r w:rsidRPr="00C66395">
        <w:rPr>
          <w:highlight w:val="white"/>
        </w:rPr>
        <w:t xml:space="preserve">. Through the adoption of the second WPS resolution, UNSCR 1820, the agenda took a much-needed focus on CRSV that had, up to that time, received only sporadic attention by the UNSC. This was perhaps the point of departure for the WPS agenda’s expansion along two tracks, with the recognition of the systematic violation of women in armed conflict arresting the Council’s attention under WPS for some time. </w:t>
      </w:r>
      <w:r w:rsidR="0045799C">
        <w:rPr>
          <w:highlight w:val="white"/>
        </w:rPr>
        <w:t>The use of a</w:t>
      </w:r>
      <w:r w:rsidRPr="00C66395">
        <w:rPr>
          <w:highlight w:val="white"/>
        </w:rPr>
        <w:t xml:space="preserve"> framing </w:t>
      </w:r>
      <w:r w:rsidR="000E56A0">
        <w:rPr>
          <w:highlight w:val="white"/>
        </w:rPr>
        <w:t>that</w:t>
      </w:r>
      <w:r w:rsidRPr="00C66395">
        <w:rPr>
          <w:highlight w:val="white"/>
        </w:rPr>
        <w:t xml:space="preserve"> tied </w:t>
      </w:r>
      <w:r w:rsidR="000E56A0">
        <w:rPr>
          <w:highlight w:val="white"/>
        </w:rPr>
        <w:t xml:space="preserve">CRSV </w:t>
      </w:r>
      <w:r w:rsidRPr="00C66395">
        <w:rPr>
          <w:highlight w:val="white"/>
        </w:rPr>
        <w:t xml:space="preserve">to </w:t>
      </w:r>
      <w:r w:rsidR="002456DF">
        <w:rPr>
          <w:highlight w:val="white"/>
        </w:rPr>
        <w:t>‘</w:t>
      </w:r>
      <w:r w:rsidRPr="00C66395">
        <w:rPr>
          <w:highlight w:val="white"/>
        </w:rPr>
        <w:t>strategic rape</w:t>
      </w:r>
      <w:r w:rsidR="002456DF">
        <w:rPr>
          <w:highlight w:val="white"/>
        </w:rPr>
        <w:t xml:space="preserve">’ </w:t>
      </w:r>
      <w:r w:rsidRPr="00C66395">
        <w:rPr>
          <w:highlight w:val="white"/>
        </w:rPr>
        <w:t xml:space="preserve">meant that </w:t>
      </w:r>
      <w:r w:rsidR="000E56A0">
        <w:rPr>
          <w:highlight w:val="white"/>
        </w:rPr>
        <w:t>the resolutions</w:t>
      </w:r>
      <w:r w:rsidRPr="00C66395">
        <w:rPr>
          <w:highlight w:val="white"/>
        </w:rPr>
        <w:t xml:space="preserve"> focused primarily on </w:t>
      </w:r>
      <w:r w:rsidR="000E56A0">
        <w:rPr>
          <w:highlight w:val="white"/>
        </w:rPr>
        <w:t xml:space="preserve">that aspect of </w:t>
      </w:r>
      <w:r w:rsidRPr="00C66395">
        <w:rPr>
          <w:highlight w:val="white"/>
        </w:rPr>
        <w:t xml:space="preserve">armed actor-led systematic </w:t>
      </w:r>
      <w:r w:rsidR="000E56A0">
        <w:rPr>
          <w:highlight w:val="white"/>
        </w:rPr>
        <w:t>violence</w:t>
      </w:r>
      <w:r w:rsidRPr="00C66395">
        <w:rPr>
          <w:highlight w:val="white"/>
        </w:rPr>
        <w:t xml:space="preserve">. </w:t>
      </w:r>
      <w:r w:rsidR="00C973C1">
        <w:rPr>
          <w:highlight w:val="white"/>
        </w:rPr>
        <w:t>Critics have pointed out that this</w:t>
      </w:r>
      <w:r w:rsidRPr="00C66395">
        <w:rPr>
          <w:highlight w:val="white"/>
        </w:rPr>
        <w:t xml:space="preserve"> prompted a tendency to conflate all gendered violence</w:t>
      </w:r>
      <w:r w:rsidR="00EA546C">
        <w:rPr>
          <w:highlight w:val="white"/>
        </w:rPr>
        <w:t xml:space="preserve">, and even women’s experiences of conflict, </w:t>
      </w:r>
      <w:r w:rsidRPr="00C66395">
        <w:rPr>
          <w:highlight w:val="white"/>
        </w:rPr>
        <w:t xml:space="preserve">with </w:t>
      </w:r>
      <w:r w:rsidR="00EA546C">
        <w:rPr>
          <w:highlight w:val="white"/>
        </w:rPr>
        <w:t>strategic rape. The result</w:t>
      </w:r>
      <w:r w:rsidRPr="00C66395">
        <w:rPr>
          <w:highlight w:val="white"/>
        </w:rPr>
        <w:t>ing</w:t>
      </w:r>
      <w:r w:rsidR="00EA546C">
        <w:rPr>
          <w:highlight w:val="white"/>
        </w:rPr>
        <w:t xml:space="preserve"> </w:t>
      </w:r>
      <w:r w:rsidRPr="00C66395">
        <w:rPr>
          <w:highlight w:val="white"/>
        </w:rPr>
        <w:t xml:space="preserve">metanarrative </w:t>
      </w:r>
      <w:r w:rsidR="00EA546C">
        <w:rPr>
          <w:highlight w:val="white"/>
        </w:rPr>
        <w:t>came to represent the</w:t>
      </w:r>
      <w:r w:rsidRPr="00C66395">
        <w:rPr>
          <w:highlight w:val="white"/>
        </w:rPr>
        <w:t xml:space="preserve"> primary protection concern for women in armed conflict contexts</w:t>
      </w:r>
      <w:r w:rsidR="00EA546C">
        <w:rPr>
          <w:highlight w:val="white"/>
        </w:rPr>
        <w:t xml:space="preserve"> for </w:t>
      </w:r>
      <w:r w:rsidR="00F821B8">
        <w:rPr>
          <w:highlight w:val="white"/>
        </w:rPr>
        <w:t>some time</w:t>
      </w:r>
      <w:r w:rsidRPr="00C66395">
        <w:rPr>
          <w:highlight w:val="white"/>
        </w:rPr>
        <w:t>.</w:t>
      </w:r>
      <w:r w:rsidR="002456DF">
        <w:rPr>
          <w:rStyle w:val="FootnoteReference"/>
          <w:highlight w:val="white"/>
        </w:rPr>
        <w:footnoteReference w:id="77"/>
      </w:r>
    </w:p>
    <w:p w14:paraId="3AD00AD4" w14:textId="77777777" w:rsidR="001E2986" w:rsidRDefault="00C66395" w:rsidP="001E2986">
      <w:pPr>
        <w:spacing w:line="360" w:lineRule="auto"/>
        <w:ind w:firstLine="720"/>
        <w:jc w:val="both"/>
        <w:rPr>
          <w:highlight w:val="white"/>
        </w:rPr>
      </w:pPr>
      <w:r w:rsidRPr="00C66395">
        <w:rPr>
          <w:highlight w:val="white"/>
        </w:rPr>
        <w:t>From their inception, the opening operational paras of the protection-focused resolutions establish</w:t>
      </w:r>
      <w:r w:rsidR="0011027D">
        <w:rPr>
          <w:highlight w:val="white"/>
        </w:rPr>
        <w:t>ed</w:t>
      </w:r>
      <w:r w:rsidRPr="00C66395">
        <w:rPr>
          <w:highlight w:val="white"/>
        </w:rPr>
        <w:t xml:space="preserve"> a very clear delineation</w:t>
      </w:r>
      <w:r w:rsidR="00887F2C">
        <w:rPr>
          <w:highlight w:val="white"/>
        </w:rPr>
        <w:t xml:space="preserve"> of </w:t>
      </w:r>
      <w:r w:rsidR="002456DF">
        <w:rPr>
          <w:highlight w:val="white"/>
        </w:rPr>
        <w:t>‘</w:t>
      </w:r>
      <w:r w:rsidRPr="00C66395">
        <w:rPr>
          <w:highlight w:val="white"/>
        </w:rPr>
        <w:t>sexual violence, when used or commissioned as a tactic of war in order to deliberately target civilians or as a part of a widespread or systematic attack against civilian populations</w:t>
      </w:r>
      <w:r w:rsidR="002456DF">
        <w:rPr>
          <w:highlight w:val="white"/>
        </w:rPr>
        <w:t>’</w:t>
      </w:r>
      <w:r w:rsidR="00887F2C">
        <w:rPr>
          <w:highlight w:val="white"/>
        </w:rPr>
        <w:t>.</w:t>
      </w:r>
      <w:r w:rsidR="00887F2C">
        <w:rPr>
          <w:rStyle w:val="FootnoteReference"/>
          <w:highlight w:val="white"/>
        </w:rPr>
        <w:footnoteReference w:id="78"/>
      </w:r>
      <w:r w:rsidR="00887F2C">
        <w:rPr>
          <w:highlight w:val="white"/>
        </w:rPr>
        <w:t xml:space="preserve">  This was </w:t>
      </w:r>
      <w:r w:rsidRPr="00C66395">
        <w:rPr>
          <w:highlight w:val="white"/>
        </w:rPr>
        <w:t>carried from UNSCR 1820</w:t>
      </w:r>
      <w:r w:rsidR="002456DF">
        <w:rPr>
          <w:rStyle w:val="FootnoteReference"/>
          <w:highlight w:val="white"/>
        </w:rPr>
        <w:footnoteReference w:id="79"/>
      </w:r>
      <w:r w:rsidRPr="00C66395">
        <w:rPr>
          <w:highlight w:val="white"/>
        </w:rPr>
        <w:t xml:space="preserve"> through to UNSCR 2106 where it is defined as a crime against humanity and an element of genocide,</w:t>
      </w:r>
      <w:r w:rsidR="002456DF">
        <w:rPr>
          <w:rStyle w:val="FootnoteReference"/>
          <w:highlight w:val="white"/>
        </w:rPr>
        <w:footnoteReference w:id="80"/>
      </w:r>
      <w:r w:rsidRPr="00C66395">
        <w:rPr>
          <w:highlight w:val="white"/>
        </w:rPr>
        <w:t xml:space="preserve"> to the most recent resolution, UNSCR 2467 with a focus on armed actors and </w:t>
      </w:r>
      <w:r w:rsidR="002456DF">
        <w:rPr>
          <w:highlight w:val="white"/>
        </w:rPr>
        <w:t>‘</w:t>
      </w:r>
      <w:r w:rsidRPr="00C66395">
        <w:rPr>
          <w:highlight w:val="white"/>
        </w:rPr>
        <w:t>chains of command</w:t>
      </w:r>
      <w:r w:rsidR="002456DF">
        <w:rPr>
          <w:highlight w:val="white"/>
        </w:rPr>
        <w:t>’</w:t>
      </w:r>
      <w:r w:rsidRPr="00C66395">
        <w:rPr>
          <w:highlight w:val="white"/>
        </w:rPr>
        <w:t>.</w:t>
      </w:r>
      <w:r w:rsidR="002456DF">
        <w:rPr>
          <w:rStyle w:val="FootnoteReference"/>
          <w:highlight w:val="white"/>
        </w:rPr>
        <w:footnoteReference w:id="81"/>
      </w:r>
      <w:r w:rsidRPr="00C66395">
        <w:rPr>
          <w:highlight w:val="white"/>
        </w:rPr>
        <w:t xml:space="preserve"> From the outset, CRSV is by necessity, in respect of the UNSC’s mandate, framed as an issue that can exacerbate conflict and inhibit progress in maintaining international peace and security. While representing significant progress in the recognition of CRSV as a crime, the later recognition by UNSCR 2467 that UN actors engage with armed actors </w:t>
      </w:r>
      <w:r w:rsidR="00CA5C80">
        <w:rPr>
          <w:highlight w:val="white"/>
        </w:rPr>
        <w:t>‘</w:t>
      </w:r>
      <w:r w:rsidRPr="00C66395">
        <w:rPr>
          <w:highlight w:val="white"/>
        </w:rPr>
        <w:t>to prevent and address all acts and forms of sexual violence in conflict and post-conflict situations</w:t>
      </w:r>
      <w:r w:rsidR="00C5184D">
        <w:rPr>
          <w:highlight w:val="white"/>
        </w:rPr>
        <w:t>’</w:t>
      </w:r>
      <w:r w:rsidR="00C5184D">
        <w:rPr>
          <w:rStyle w:val="FootnoteReference"/>
          <w:highlight w:val="white"/>
        </w:rPr>
        <w:footnoteReference w:id="82"/>
      </w:r>
      <w:r w:rsidR="0045799C">
        <w:rPr>
          <w:highlight w:val="white"/>
        </w:rPr>
        <w:t xml:space="preserve"> </w:t>
      </w:r>
      <w:r w:rsidRPr="00C66395">
        <w:rPr>
          <w:highlight w:val="white"/>
        </w:rPr>
        <w:t>cannot be underestimated. </w:t>
      </w:r>
      <w:r w:rsidR="00887F2C">
        <w:rPr>
          <w:highlight w:val="white"/>
        </w:rPr>
        <w:t xml:space="preserve">The inclusion of ‘all acts and forms’ optimistically </w:t>
      </w:r>
      <w:proofErr w:type="gramStart"/>
      <w:r w:rsidRPr="00C66395">
        <w:rPr>
          <w:highlight w:val="white"/>
        </w:rPr>
        <w:t>points</w:t>
      </w:r>
      <w:proofErr w:type="gramEnd"/>
      <w:r w:rsidRPr="00C66395">
        <w:rPr>
          <w:highlight w:val="white"/>
        </w:rPr>
        <w:t xml:space="preserve"> to an expand</w:t>
      </w:r>
      <w:r w:rsidR="009740D4">
        <w:rPr>
          <w:highlight w:val="white"/>
        </w:rPr>
        <w:t>ed</w:t>
      </w:r>
      <w:r w:rsidRPr="00C66395">
        <w:rPr>
          <w:highlight w:val="white"/>
        </w:rPr>
        <w:t xml:space="preserve"> understanding of CRSV and its relevance in post-conflict situations. Here and in its preambular paras, UNSCR 2467 sets out the basis for this resolutions’ recognition </w:t>
      </w:r>
      <w:r w:rsidR="00C5184D">
        <w:rPr>
          <w:highlight w:val="white"/>
        </w:rPr>
        <w:t>‘</w:t>
      </w:r>
      <w:r w:rsidRPr="00C66395">
        <w:rPr>
          <w:highlight w:val="white"/>
        </w:rPr>
        <w:t>that the safety and empowerment of women and girls is important for their meaningful participation in peace processes</w:t>
      </w:r>
      <w:r w:rsidR="00C5184D">
        <w:rPr>
          <w:highlight w:val="white"/>
        </w:rPr>
        <w:t>’</w:t>
      </w:r>
      <w:r w:rsidRPr="00C66395">
        <w:rPr>
          <w:highlight w:val="white"/>
        </w:rPr>
        <w:t>.</w:t>
      </w:r>
      <w:r w:rsidR="00C5184D">
        <w:rPr>
          <w:rStyle w:val="FootnoteReference"/>
          <w:highlight w:val="white"/>
        </w:rPr>
        <w:footnoteReference w:id="83"/>
      </w:r>
      <w:r w:rsidRPr="00C66395">
        <w:rPr>
          <w:highlight w:val="white"/>
        </w:rPr>
        <w:t xml:space="preserve"> Relatedly, the textual analysis shows that in some WPS resolutions</w:t>
      </w:r>
      <w:r w:rsidR="0045799C">
        <w:rPr>
          <w:highlight w:val="white"/>
        </w:rPr>
        <w:t>, particularly the participation resolutions,</w:t>
      </w:r>
      <w:r w:rsidRPr="00C66395">
        <w:rPr>
          <w:highlight w:val="white"/>
        </w:rPr>
        <w:t xml:space="preserve"> wider gender-based violence is referenced, widening the lens somewhat on the forms of harm from which women should be </w:t>
      </w:r>
      <w:r w:rsidRPr="00C66395">
        <w:rPr>
          <w:highlight w:val="white"/>
        </w:rPr>
        <w:lastRenderedPageBreak/>
        <w:t>protected. Protection from rights violations within particular contexts, such as in refugee and displacement sites, and in the context of DDR and cantonment sites are also specifically referenced.</w:t>
      </w:r>
      <w:r w:rsidR="009740D4">
        <w:rPr>
          <w:rStyle w:val="FootnoteReference"/>
          <w:highlight w:val="white"/>
        </w:rPr>
        <w:footnoteReference w:id="84"/>
      </w:r>
      <w:r w:rsidRPr="00C66395">
        <w:rPr>
          <w:highlight w:val="white"/>
        </w:rPr>
        <w:t xml:space="preserve"> In some cases </w:t>
      </w:r>
      <w:r w:rsidR="00C5184D">
        <w:rPr>
          <w:highlight w:val="white"/>
        </w:rPr>
        <w:t>‘</w:t>
      </w:r>
      <w:r w:rsidRPr="00C66395">
        <w:rPr>
          <w:highlight w:val="white"/>
        </w:rPr>
        <w:t>security threats and protection challenges</w:t>
      </w:r>
      <w:r w:rsidR="00C5184D">
        <w:rPr>
          <w:highlight w:val="white"/>
        </w:rPr>
        <w:t>’</w:t>
      </w:r>
      <w:r w:rsidRPr="00C66395">
        <w:rPr>
          <w:highlight w:val="white"/>
        </w:rPr>
        <w:t xml:space="preserve"> affecting women are noted</w:t>
      </w:r>
      <w:r w:rsidR="00844F5B">
        <w:rPr>
          <w:highlight w:val="white"/>
        </w:rPr>
        <w:t>.</w:t>
      </w:r>
      <w:r w:rsidR="00C5184D">
        <w:rPr>
          <w:rStyle w:val="FootnoteReference"/>
          <w:highlight w:val="white"/>
        </w:rPr>
        <w:footnoteReference w:id="85"/>
      </w:r>
      <w:r w:rsidR="00844F5B">
        <w:rPr>
          <w:highlight w:val="white"/>
        </w:rPr>
        <w:t xml:space="preserve">  However, </w:t>
      </w:r>
      <w:r w:rsidRPr="00C66395">
        <w:rPr>
          <w:highlight w:val="white"/>
        </w:rPr>
        <w:t xml:space="preserve">it is not clear if the </w:t>
      </w:r>
      <w:r w:rsidR="00C5184D">
        <w:rPr>
          <w:highlight w:val="white"/>
        </w:rPr>
        <w:t>‘</w:t>
      </w:r>
      <w:r w:rsidRPr="00C66395">
        <w:rPr>
          <w:highlight w:val="white"/>
        </w:rPr>
        <w:t>security threats</w:t>
      </w:r>
      <w:r w:rsidR="00C5184D">
        <w:rPr>
          <w:highlight w:val="white"/>
        </w:rPr>
        <w:t>’</w:t>
      </w:r>
      <w:r w:rsidRPr="00C66395">
        <w:rPr>
          <w:highlight w:val="white"/>
        </w:rPr>
        <w:t xml:space="preserve"> include those outside of political armed violence. The link with a broader understanding of security, threat and gender-based harm for women outside of armed</w:t>
      </w:r>
      <w:r w:rsidR="009740D4">
        <w:rPr>
          <w:highlight w:val="white"/>
        </w:rPr>
        <w:t xml:space="preserve">-actor </w:t>
      </w:r>
      <w:r w:rsidR="00C54B85">
        <w:rPr>
          <w:highlight w:val="white"/>
        </w:rPr>
        <w:t>l</w:t>
      </w:r>
      <w:r w:rsidR="009740D4">
        <w:rPr>
          <w:highlight w:val="white"/>
        </w:rPr>
        <w:t>ed</w:t>
      </w:r>
      <w:r w:rsidRPr="00C66395">
        <w:rPr>
          <w:highlight w:val="white"/>
        </w:rPr>
        <w:t xml:space="preserve"> violence is not always explicitly apparent within the resolutions. </w:t>
      </w:r>
    </w:p>
    <w:p w14:paraId="3C99BD5D" w14:textId="34A97D74" w:rsidR="0047076F" w:rsidRDefault="001E2986" w:rsidP="001E2986">
      <w:pPr>
        <w:spacing w:line="360" w:lineRule="auto"/>
        <w:ind w:firstLine="720"/>
        <w:jc w:val="both"/>
        <w:rPr>
          <w:highlight w:val="white"/>
        </w:rPr>
      </w:pPr>
      <w:r>
        <w:rPr>
          <w:highlight w:val="white"/>
        </w:rPr>
        <w:t>In all, s</w:t>
      </w:r>
      <w:r w:rsidR="00C66395" w:rsidRPr="00C66395">
        <w:rPr>
          <w:highlight w:val="white"/>
        </w:rPr>
        <w:t xml:space="preserve">eparate provisions </w:t>
      </w:r>
      <w:r>
        <w:rPr>
          <w:highlight w:val="white"/>
        </w:rPr>
        <w:t>dealing with</w:t>
      </w:r>
      <w:r w:rsidR="00C66395" w:rsidRPr="00C66395">
        <w:rPr>
          <w:highlight w:val="white"/>
        </w:rPr>
        <w:t xml:space="preserve"> participation and protection appear alongside each other</w:t>
      </w:r>
      <w:r>
        <w:rPr>
          <w:highlight w:val="white"/>
        </w:rPr>
        <w:t>,</w:t>
      </w:r>
      <w:r w:rsidR="00C66395" w:rsidRPr="00C66395">
        <w:rPr>
          <w:highlight w:val="white"/>
        </w:rPr>
        <w:t xml:space="preserve"> and are prolific across the resolutions, signalling their primacy in respect of the agenda. The</w:t>
      </w:r>
      <w:r>
        <w:rPr>
          <w:highlight w:val="white"/>
        </w:rPr>
        <w:t>se specific</w:t>
      </w:r>
      <w:r w:rsidR="00C66395" w:rsidRPr="00C66395">
        <w:rPr>
          <w:highlight w:val="white"/>
        </w:rPr>
        <w:t xml:space="preserve"> provisions and language represent the advancement, albeit in limited ways as discussed, of each of the pillars along specific trajectories. The volume of provisions on each also evidences the balance that has been attempted at a macro level</w:t>
      </w:r>
      <w:r w:rsidR="00A138E0">
        <w:rPr>
          <w:highlight w:val="white"/>
        </w:rPr>
        <w:t>,</w:t>
      </w:r>
      <w:r>
        <w:rPr>
          <w:highlight w:val="white"/>
        </w:rPr>
        <w:t xml:space="preserve"> </w:t>
      </w:r>
      <w:r w:rsidR="00C66395" w:rsidRPr="00C66395">
        <w:rPr>
          <w:highlight w:val="white"/>
        </w:rPr>
        <w:t xml:space="preserve">between resolutions that resolutely </w:t>
      </w:r>
      <w:r w:rsidR="00A138E0">
        <w:rPr>
          <w:highlight w:val="white"/>
        </w:rPr>
        <w:t xml:space="preserve">focus on </w:t>
      </w:r>
      <w:r>
        <w:rPr>
          <w:highlight w:val="white"/>
        </w:rPr>
        <w:t xml:space="preserve">participation or protection. The resolutions </w:t>
      </w:r>
      <w:r w:rsidR="00176A52">
        <w:rPr>
          <w:highlight w:val="white"/>
        </w:rPr>
        <w:t xml:space="preserve">that are primarily </w:t>
      </w:r>
      <w:r>
        <w:rPr>
          <w:highlight w:val="white"/>
        </w:rPr>
        <w:t xml:space="preserve">focused on </w:t>
      </w:r>
      <w:r w:rsidR="00C66395" w:rsidRPr="00C66395">
        <w:rPr>
          <w:highlight w:val="white"/>
        </w:rPr>
        <w:t>advanc</w:t>
      </w:r>
      <w:r>
        <w:rPr>
          <w:highlight w:val="white"/>
        </w:rPr>
        <w:t xml:space="preserve">ing </w:t>
      </w:r>
      <w:r w:rsidR="00C66395" w:rsidRPr="00C66395">
        <w:rPr>
          <w:highlight w:val="white"/>
        </w:rPr>
        <w:t>women’s participation,</w:t>
      </w:r>
      <w:r>
        <w:rPr>
          <w:highlight w:val="white"/>
        </w:rPr>
        <w:t xml:space="preserve"> </w:t>
      </w:r>
      <w:r w:rsidR="00C66395" w:rsidRPr="00C66395">
        <w:rPr>
          <w:highlight w:val="white"/>
        </w:rPr>
        <w:t xml:space="preserve">in many ways </w:t>
      </w:r>
      <w:r>
        <w:rPr>
          <w:highlight w:val="white"/>
        </w:rPr>
        <w:t xml:space="preserve">have </w:t>
      </w:r>
      <w:r w:rsidR="00C66395" w:rsidRPr="00C66395">
        <w:rPr>
          <w:highlight w:val="white"/>
        </w:rPr>
        <w:t>had to respond to the potency that the successive protection resolutions galvanised in the mid-way point of the agenda in its first two decades. That counter-balancing has to some degree also however served to carve out a much-needed specificity tied to each pillar</w:t>
      </w:r>
      <w:r w:rsidR="00176A52">
        <w:rPr>
          <w:highlight w:val="white"/>
        </w:rPr>
        <w:t xml:space="preserve">. This has however, </w:t>
      </w:r>
      <w:r w:rsidR="00C66395" w:rsidRPr="00C66395">
        <w:rPr>
          <w:highlight w:val="white"/>
        </w:rPr>
        <w:t xml:space="preserve">at least in the early resolutions, </w:t>
      </w:r>
      <w:r w:rsidR="00176A52">
        <w:rPr>
          <w:highlight w:val="white"/>
        </w:rPr>
        <w:t>prompted</w:t>
      </w:r>
      <w:r w:rsidR="00C66395" w:rsidRPr="00C66395">
        <w:rPr>
          <w:highlight w:val="white"/>
        </w:rPr>
        <w:t xml:space="preserve"> </w:t>
      </w:r>
      <w:r w:rsidR="00176A52">
        <w:rPr>
          <w:highlight w:val="white"/>
        </w:rPr>
        <w:t>an</w:t>
      </w:r>
      <w:r w:rsidR="00C66395" w:rsidRPr="00C66395">
        <w:rPr>
          <w:highlight w:val="white"/>
        </w:rPr>
        <w:t xml:space="preserve"> evolution of the agenda along the aforementioned binaries of agency and victimhood.  </w:t>
      </w:r>
    </w:p>
    <w:p w14:paraId="4436D632" w14:textId="4E70131A" w:rsidR="00C66395" w:rsidRPr="00A14491" w:rsidRDefault="00C66395" w:rsidP="0047076F">
      <w:pPr>
        <w:spacing w:line="360" w:lineRule="auto"/>
        <w:ind w:firstLine="720"/>
        <w:jc w:val="both"/>
        <w:rPr>
          <w:highlight w:val="white"/>
        </w:rPr>
      </w:pPr>
      <w:r w:rsidRPr="00C66395">
        <w:rPr>
          <w:highlight w:val="white"/>
        </w:rPr>
        <w:t> </w:t>
      </w:r>
    </w:p>
    <w:p w14:paraId="52E3F06F" w14:textId="741B640E" w:rsidR="00A14491" w:rsidRDefault="00A14491" w:rsidP="00A14491">
      <w:pPr>
        <w:pStyle w:val="Heading2"/>
        <w:rPr>
          <w:highlight w:val="white"/>
        </w:rPr>
      </w:pPr>
      <w:r>
        <w:rPr>
          <w:highlight w:val="white"/>
        </w:rPr>
        <w:t xml:space="preserve">B </w:t>
      </w:r>
      <w:r w:rsidR="00C66395" w:rsidRPr="00A14491">
        <w:rPr>
          <w:highlight w:val="white"/>
        </w:rPr>
        <w:t>Inter-Connecting Concerns:</w:t>
      </w:r>
    </w:p>
    <w:p w14:paraId="06C41E2D" w14:textId="1B2AC568" w:rsidR="00C66395" w:rsidRPr="00A14491" w:rsidRDefault="00C66395" w:rsidP="00A14491">
      <w:pPr>
        <w:pStyle w:val="Heading2"/>
        <w:rPr>
          <w:highlight w:val="white"/>
        </w:rPr>
      </w:pPr>
      <w:r w:rsidRPr="00A14491">
        <w:rPr>
          <w:highlight w:val="white"/>
        </w:rPr>
        <w:t>Varying Associations Between Participation and Protection across the WPS Resolutions </w:t>
      </w:r>
    </w:p>
    <w:p w14:paraId="2CC647F1" w14:textId="77777777" w:rsidR="00C66395" w:rsidRPr="00C66395" w:rsidRDefault="00C66395" w:rsidP="00C66395">
      <w:pPr>
        <w:spacing w:line="360" w:lineRule="auto"/>
        <w:ind w:firstLine="720"/>
        <w:jc w:val="both"/>
        <w:rPr>
          <w:highlight w:val="white"/>
        </w:rPr>
      </w:pPr>
      <w:r w:rsidRPr="00C66395">
        <w:rPr>
          <w:highlight w:val="white"/>
        </w:rPr>
        <w:t> </w:t>
      </w:r>
    </w:p>
    <w:p w14:paraId="4DC2A6BE" w14:textId="7054231B" w:rsidR="00C66395" w:rsidRPr="00C66395" w:rsidRDefault="00C66395" w:rsidP="00C66395">
      <w:pPr>
        <w:spacing w:line="360" w:lineRule="auto"/>
        <w:ind w:firstLine="720"/>
        <w:jc w:val="both"/>
        <w:rPr>
          <w:highlight w:val="white"/>
        </w:rPr>
      </w:pPr>
      <w:r w:rsidRPr="00C66395">
        <w:rPr>
          <w:highlight w:val="white"/>
        </w:rPr>
        <w:t xml:space="preserve">The </w:t>
      </w:r>
      <w:r w:rsidR="000B0387">
        <w:rPr>
          <w:highlight w:val="white"/>
        </w:rPr>
        <w:t>findings</w:t>
      </w:r>
      <w:r w:rsidRPr="00C66395">
        <w:rPr>
          <w:highlight w:val="white"/>
        </w:rPr>
        <w:t xml:space="preserve"> </w:t>
      </w:r>
      <w:r w:rsidR="000B0387">
        <w:rPr>
          <w:highlight w:val="white"/>
        </w:rPr>
        <w:t xml:space="preserve">of the textual analysis </w:t>
      </w:r>
      <w:r w:rsidR="005554E4">
        <w:rPr>
          <w:highlight w:val="white"/>
        </w:rPr>
        <w:t xml:space="preserve">above </w:t>
      </w:r>
      <w:proofErr w:type="gramStart"/>
      <w:r w:rsidR="005554E4">
        <w:rPr>
          <w:highlight w:val="white"/>
        </w:rPr>
        <w:t>offers</w:t>
      </w:r>
      <w:proofErr w:type="gramEnd"/>
      <w:r w:rsidR="005554E4" w:rsidRPr="00C66395">
        <w:rPr>
          <w:highlight w:val="white"/>
        </w:rPr>
        <w:t xml:space="preserve"> only </w:t>
      </w:r>
      <w:r w:rsidR="005554E4">
        <w:rPr>
          <w:highlight w:val="white"/>
        </w:rPr>
        <w:t xml:space="preserve">a partial </w:t>
      </w:r>
      <w:r w:rsidR="005554E4" w:rsidRPr="00C66395">
        <w:rPr>
          <w:highlight w:val="white"/>
        </w:rPr>
        <w:t>reading</w:t>
      </w:r>
      <w:r w:rsidR="005554E4">
        <w:rPr>
          <w:highlight w:val="white"/>
        </w:rPr>
        <w:t xml:space="preserve"> </w:t>
      </w:r>
      <w:r w:rsidR="000B0387">
        <w:rPr>
          <w:highlight w:val="white"/>
        </w:rPr>
        <w:t xml:space="preserve">of the </w:t>
      </w:r>
      <w:r w:rsidR="005554E4">
        <w:rPr>
          <w:highlight w:val="white"/>
        </w:rPr>
        <w:t xml:space="preserve">language, substance and texture of the </w:t>
      </w:r>
      <w:r w:rsidR="000B0387">
        <w:rPr>
          <w:highlight w:val="white"/>
        </w:rPr>
        <w:t>participation and protection</w:t>
      </w:r>
      <w:r w:rsidR="000B0387" w:rsidRPr="00C66395">
        <w:rPr>
          <w:highlight w:val="white"/>
        </w:rPr>
        <w:t xml:space="preserve"> </w:t>
      </w:r>
      <w:r w:rsidRPr="00C66395">
        <w:rPr>
          <w:highlight w:val="white"/>
        </w:rPr>
        <w:t>pillars</w:t>
      </w:r>
      <w:r w:rsidR="005554E4">
        <w:rPr>
          <w:highlight w:val="white"/>
        </w:rPr>
        <w:t xml:space="preserve"> in the resolutions</w:t>
      </w:r>
      <w:r w:rsidRPr="00C66395">
        <w:rPr>
          <w:highlight w:val="white"/>
        </w:rPr>
        <w:t xml:space="preserve">, and one which largely elides the </w:t>
      </w:r>
      <w:r w:rsidR="000B0387">
        <w:rPr>
          <w:highlight w:val="white"/>
        </w:rPr>
        <w:t xml:space="preserve">evolution of a </w:t>
      </w:r>
      <w:r w:rsidRPr="00C66395">
        <w:rPr>
          <w:highlight w:val="white"/>
        </w:rPr>
        <w:t xml:space="preserve">closer relationship between the </w:t>
      </w:r>
      <w:r w:rsidR="000B0387">
        <w:rPr>
          <w:highlight w:val="white"/>
        </w:rPr>
        <w:t>two over time</w:t>
      </w:r>
      <w:r w:rsidRPr="00C66395">
        <w:rPr>
          <w:highlight w:val="white"/>
        </w:rPr>
        <w:t xml:space="preserve">. Turning now to </w:t>
      </w:r>
      <w:r w:rsidR="005554E4">
        <w:rPr>
          <w:highlight w:val="white"/>
        </w:rPr>
        <w:t xml:space="preserve">their </w:t>
      </w:r>
      <w:r w:rsidRPr="00C66395">
        <w:rPr>
          <w:highlight w:val="white"/>
        </w:rPr>
        <w:t xml:space="preserve">potential </w:t>
      </w:r>
      <w:r w:rsidR="00DF3C6C">
        <w:rPr>
          <w:highlight w:val="white"/>
        </w:rPr>
        <w:t>synergies</w:t>
      </w:r>
      <w:r w:rsidRPr="00C66395">
        <w:rPr>
          <w:highlight w:val="white"/>
        </w:rPr>
        <w:t xml:space="preserve">, </w:t>
      </w:r>
      <w:r w:rsidR="00DF3C6C">
        <w:rPr>
          <w:highlight w:val="white"/>
        </w:rPr>
        <w:t xml:space="preserve">the </w:t>
      </w:r>
      <w:r w:rsidR="005554E4">
        <w:rPr>
          <w:highlight w:val="white"/>
        </w:rPr>
        <w:t xml:space="preserve">textual </w:t>
      </w:r>
      <w:r w:rsidRPr="00C66395">
        <w:rPr>
          <w:highlight w:val="white"/>
        </w:rPr>
        <w:t xml:space="preserve">analysis demonstrates three distinct </w:t>
      </w:r>
      <w:r w:rsidR="00DF3C6C">
        <w:rPr>
          <w:highlight w:val="white"/>
        </w:rPr>
        <w:t>methodologies</w:t>
      </w:r>
      <w:r w:rsidRPr="00C66395">
        <w:rPr>
          <w:highlight w:val="white"/>
        </w:rPr>
        <w:t xml:space="preserve"> of connection. First, participation and protection are frequently paired together within the same provision where the phrasing attempts to </w:t>
      </w:r>
      <w:r w:rsidRPr="00C66395">
        <w:rPr>
          <w:i/>
          <w:iCs/>
          <w:highlight w:val="white"/>
        </w:rPr>
        <w:t>balance the participation/empowerment &amp; protection/victimhood binary</w:t>
      </w:r>
      <w:r w:rsidRPr="00C66395">
        <w:rPr>
          <w:highlight w:val="white"/>
        </w:rPr>
        <w:t xml:space="preserve"> in the WPS agenda.  Second, they appear together in language </w:t>
      </w:r>
      <w:r w:rsidRPr="00C66395">
        <w:rPr>
          <w:highlight w:val="white"/>
        </w:rPr>
        <w:lastRenderedPageBreak/>
        <w:t xml:space="preserve">focused on mechanisms of protection, whereby </w:t>
      </w:r>
      <w:r w:rsidR="00DF3C6C">
        <w:rPr>
          <w:highlight w:val="white"/>
        </w:rPr>
        <w:t xml:space="preserve">some </w:t>
      </w:r>
      <w:r w:rsidRPr="00C66395">
        <w:rPr>
          <w:highlight w:val="white"/>
        </w:rPr>
        <w:t xml:space="preserve">women’s participation is understood </w:t>
      </w:r>
      <w:r w:rsidRPr="00C66395">
        <w:rPr>
          <w:i/>
          <w:iCs/>
          <w:highlight w:val="white"/>
        </w:rPr>
        <w:t xml:space="preserve">as a means of </w:t>
      </w:r>
      <w:r w:rsidR="00DF3C6C">
        <w:rPr>
          <w:i/>
          <w:iCs/>
          <w:highlight w:val="white"/>
        </w:rPr>
        <w:t xml:space="preserve">other </w:t>
      </w:r>
      <w:r w:rsidRPr="00C66395">
        <w:rPr>
          <w:i/>
          <w:iCs/>
          <w:highlight w:val="white"/>
        </w:rPr>
        <w:t>women’s protection</w:t>
      </w:r>
      <w:r w:rsidRPr="00C66395">
        <w:rPr>
          <w:highlight w:val="white"/>
        </w:rPr>
        <w:t xml:space="preserve">. Third, and of most relevance to this article, participation and protection appear together in two ways in respect </w:t>
      </w:r>
      <w:r w:rsidR="00DF3C6C">
        <w:rPr>
          <w:highlight w:val="white"/>
        </w:rPr>
        <w:t>to</w:t>
      </w:r>
      <w:r w:rsidRPr="00C66395">
        <w:rPr>
          <w:highlight w:val="white"/>
        </w:rPr>
        <w:t xml:space="preserve"> acknowledging a</w:t>
      </w:r>
      <w:r w:rsidR="00DF3C6C">
        <w:rPr>
          <w:highlight w:val="white"/>
        </w:rPr>
        <w:t>n inter-</w:t>
      </w:r>
      <w:r w:rsidRPr="00C66395">
        <w:rPr>
          <w:highlight w:val="white"/>
        </w:rPr>
        <w:t>relationship between the pillars</w:t>
      </w:r>
      <w:r w:rsidR="00DF3C6C">
        <w:rPr>
          <w:highlight w:val="white"/>
        </w:rPr>
        <w:t xml:space="preserve">: </w:t>
      </w:r>
      <w:r w:rsidRPr="00C66395">
        <w:rPr>
          <w:highlight w:val="white"/>
        </w:rPr>
        <w:t xml:space="preserve">in </w:t>
      </w:r>
      <w:r w:rsidRPr="00C66395">
        <w:rPr>
          <w:i/>
          <w:iCs/>
          <w:highlight w:val="white"/>
        </w:rPr>
        <w:t>an implicit sense</w:t>
      </w:r>
      <w:r w:rsidRPr="00C66395">
        <w:rPr>
          <w:highlight w:val="white"/>
        </w:rPr>
        <w:t xml:space="preserve">, whereby language could be interpreted as pointing to the link between women’s safety and their participation; and </w:t>
      </w:r>
      <w:r w:rsidRPr="00C66395">
        <w:rPr>
          <w:i/>
          <w:iCs/>
          <w:highlight w:val="white"/>
        </w:rPr>
        <w:t>an explicit sense,</w:t>
      </w:r>
      <w:r w:rsidRPr="00C66395">
        <w:rPr>
          <w:highlight w:val="white"/>
        </w:rPr>
        <w:t xml:space="preserve"> where a direct relationship between women’s participation and their protection is made clear </w:t>
      </w:r>
      <w:r w:rsidR="006E1D1F">
        <w:rPr>
          <w:highlight w:val="white"/>
        </w:rPr>
        <w:t xml:space="preserve">as a specific </w:t>
      </w:r>
      <w:r w:rsidRPr="00C66395">
        <w:rPr>
          <w:highlight w:val="white"/>
        </w:rPr>
        <w:t xml:space="preserve">concern to </w:t>
      </w:r>
      <w:r w:rsidR="006E1D1F">
        <w:rPr>
          <w:highlight w:val="white"/>
        </w:rPr>
        <w:t>UNSC</w:t>
      </w:r>
      <w:r w:rsidRPr="00C66395">
        <w:rPr>
          <w:highlight w:val="white"/>
        </w:rPr>
        <w:t>. These are elaborated on further from here:</w:t>
      </w:r>
    </w:p>
    <w:p w14:paraId="3F8397B9" w14:textId="77777777" w:rsidR="00C66395" w:rsidRPr="00C66395" w:rsidRDefault="00C66395" w:rsidP="00C66395">
      <w:pPr>
        <w:spacing w:line="360" w:lineRule="auto"/>
        <w:ind w:firstLine="720"/>
        <w:jc w:val="both"/>
        <w:rPr>
          <w:highlight w:val="white"/>
        </w:rPr>
      </w:pPr>
      <w:r w:rsidRPr="00C66395">
        <w:rPr>
          <w:highlight w:val="white"/>
        </w:rPr>
        <w:t> </w:t>
      </w:r>
    </w:p>
    <w:p w14:paraId="36605FBC" w14:textId="110D11B5" w:rsidR="00C66395" w:rsidRDefault="00C66395" w:rsidP="0047076F">
      <w:pPr>
        <w:pStyle w:val="Heading3"/>
        <w:numPr>
          <w:ilvl w:val="0"/>
          <w:numId w:val="19"/>
        </w:numPr>
        <w:rPr>
          <w:highlight w:val="white"/>
        </w:rPr>
      </w:pPr>
      <w:r w:rsidRPr="00C66395">
        <w:rPr>
          <w:highlight w:val="white"/>
        </w:rPr>
        <w:t>Balancing Empowerment and Victimhood</w:t>
      </w:r>
    </w:p>
    <w:p w14:paraId="3D6D0819" w14:textId="77777777" w:rsidR="006E1D1F" w:rsidRPr="006E1D1F" w:rsidRDefault="006E1D1F" w:rsidP="006E1D1F">
      <w:pPr>
        <w:rPr>
          <w:highlight w:val="white"/>
        </w:rPr>
      </w:pPr>
    </w:p>
    <w:p w14:paraId="2A458CBC" w14:textId="07E8D7D6" w:rsidR="00C66395" w:rsidRPr="00C66395" w:rsidRDefault="00CF14C6" w:rsidP="00C66395">
      <w:pPr>
        <w:spacing w:line="360" w:lineRule="auto"/>
        <w:ind w:firstLine="720"/>
        <w:jc w:val="both"/>
        <w:rPr>
          <w:highlight w:val="white"/>
        </w:rPr>
      </w:pPr>
      <w:r>
        <w:rPr>
          <w:highlight w:val="white"/>
        </w:rPr>
        <w:t xml:space="preserve">There are </w:t>
      </w:r>
      <w:r w:rsidR="00791D7E">
        <w:rPr>
          <w:highlight w:val="white"/>
        </w:rPr>
        <w:t>examples</w:t>
      </w:r>
      <w:r>
        <w:rPr>
          <w:highlight w:val="white"/>
        </w:rPr>
        <w:t xml:space="preserve"> </w:t>
      </w:r>
      <w:r w:rsidR="00791D7E">
        <w:rPr>
          <w:highlight w:val="white"/>
        </w:rPr>
        <w:t xml:space="preserve">within the resolutions, </w:t>
      </w:r>
      <w:r>
        <w:rPr>
          <w:highlight w:val="white"/>
        </w:rPr>
        <w:t xml:space="preserve">where language </w:t>
      </w:r>
      <w:r w:rsidR="00791D7E">
        <w:rPr>
          <w:highlight w:val="white"/>
        </w:rPr>
        <w:t>places</w:t>
      </w:r>
      <w:r>
        <w:rPr>
          <w:highlight w:val="white"/>
        </w:rPr>
        <w:t xml:space="preserve"> </w:t>
      </w:r>
      <w:r w:rsidR="00C66395" w:rsidRPr="00C66395">
        <w:rPr>
          <w:highlight w:val="white"/>
        </w:rPr>
        <w:t xml:space="preserve">participation and protection </w:t>
      </w:r>
      <w:r w:rsidRPr="00791D7E">
        <w:rPr>
          <w:i/>
          <w:iCs/>
          <w:highlight w:val="white"/>
        </w:rPr>
        <w:t>adjacent</w:t>
      </w:r>
      <w:r>
        <w:rPr>
          <w:highlight w:val="white"/>
        </w:rPr>
        <w:t xml:space="preserve"> to each</w:t>
      </w:r>
      <w:r w:rsidR="00C66395" w:rsidRPr="00C66395">
        <w:rPr>
          <w:highlight w:val="white"/>
        </w:rPr>
        <w:t xml:space="preserve"> </w:t>
      </w:r>
      <w:r w:rsidR="00791D7E">
        <w:rPr>
          <w:highlight w:val="white"/>
        </w:rPr>
        <w:t xml:space="preserve">other </w:t>
      </w:r>
      <w:r>
        <w:rPr>
          <w:highlight w:val="white"/>
        </w:rPr>
        <w:t xml:space="preserve">within </w:t>
      </w:r>
      <w:r w:rsidR="00791D7E">
        <w:rPr>
          <w:highlight w:val="white"/>
        </w:rPr>
        <w:t>one</w:t>
      </w:r>
      <w:r>
        <w:rPr>
          <w:highlight w:val="white"/>
        </w:rPr>
        <w:t xml:space="preserve"> singular provision, </w:t>
      </w:r>
      <w:r w:rsidR="00C66395" w:rsidRPr="00C66395">
        <w:rPr>
          <w:highlight w:val="white"/>
        </w:rPr>
        <w:t xml:space="preserve">but </w:t>
      </w:r>
      <w:r w:rsidR="00791D7E">
        <w:rPr>
          <w:highlight w:val="white"/>
        </w:rPr>
        <w:t xml:space="preserve">they </w:t>
      </w:r>
      <w:r>
        <w:rPr>
          <w:highlight w:val="white"/>
        </w:rPr>
        <w:t>are positioned as</w:t>
      </w:r>
      <w:r w:rsidR="00C66395" w:rsidRPr="00C66395">
        <w:rPr>
          <w:highlight w:val="white"/>
        </w:rPr>
        <w:t xml:space="preserve"> separate concerns. For example, UNSCR 1325 and UNSCR 1889 recognise that </w:t>
      </w:r>
      <w:r w:rsidR="006E1D1F">
        <w:rPr>
          <w:highlight w:val="white"/>
        </w:rPr>
        <w:t>‘</w:t>
      </w:r>
      <w:r w:rsidR="00C66395" w:rsidRPr="00C66395">
        <w:rPr>
          <w:highlight w:val="white"/>
        </w:rPr>
        <w:t>…effective institutional arrangements to guarantee their [women’s] protection and full participation in the peace process can significantly contribute to the maintenance and promotion of international peace and security…</w:t>
      </w:r>
      <w:r w:rsidR="006E1D1F">
        <w:rPr>
          <w:highlight w:val="white"/>
        </w:rPr>
        <w:t>’</w:t>
      </w:r>
      <w:r w:rsidR="00C66395" w:rsidRPr="00C66395">
        <w:rPr>
          <w:highlight w:val="white"/>
        </w:rPr>
        <w:t>.</w:t>
      </w:r>
      <w:r w:rsidR="006E1D1F">
        <w:rPr>
          <w:rStyle w:val="FootnoteReference"/>
          <w:highlight w:val="white"/>
        </w:rPr>
        <w:footnoteReference w:id="86"/>
      </w:r>
      <w:r w:rsidR="00C66395" w:rsidRPr="00C66395">
        <w:rPr>
          <w:highlight w:val="white"/>
        </w:rPr>
        <w:t>  Here, women’s protection is centred as a concern of a peace process</w:t>
      </w:r>
      <w:r>
        <w:rPr>
          <w:highlight w:val="white"/>
        </w:rPr>
        <w:t>,</w:t>
      </w:r>
      <w:r w:rsidR="00C66395" w:rsidRPr="00C66395">
        <w:rPr>
          <w:highlight w:val="white"/>
        </w:rPr>
        <w:t xml:space="preserve"> but not necessarily linked to women’s ability to participate fully. However, the aim of the provision here and similarly elsewhere, appears to be to ensure that both protection and participation</w:t>
      </w:r>
      <w:r w:rsidR="00B1245A">
        <w:rPr>
          <w:highlight w:val="white"/>
        </w:rPr>
        <w:t>,</w:t>
      </w:r>
      <w:r w:rsidR="00C66395" w:rsidRPr="00C66395">
        <w:rPr>
          <w:highlight w:val="white"/>
        </w:rPr>
        <w:t xml:space="preserve"> </w:t>
      </w:r>
      <w:r w:rsidR="00B1245A">
        <w:rPr>
          <w:highlight w:val="white"/>
        </w:rPr>
        <w:t xml:space="preserve">as distinctive concerns, </w:t>
      </w:r>
      <w:r w:rsidR="00C66395" w:rsidRPr="00C66395">
        <w:rPr>
          <w:highlight w:val="white"/>
        </w:rPr>
        <w:t>are equally addressed within a provision related to a peace process.</w:t>
      </w:r>
    </w:p>
    <w:p w14:paraId="09FCEB1C" w14:textId="2EE79443" w:rsidR="00C66395" w:rsidRPr="00C66395" w:rsidRDefault="00C66395" w:rsidP="00093C4A">
      <w:pPr>
        <w:spacing w:line="360" w:lineRule="auto"/>
        <w:ind w:firstLine="720"/>
        <w:jc w:val="both"/>
        <w:rPr>
          <w:highlight w:val="white"/>
        </w:rPr>
      </w:pPr>
      <w:r w:rsidRPr="00C66395">
        <w:rPr>
          <w:highlight w:val="white"/>
        </w:rPr>
        <w:t xml:space="preserve">There </w:t>
      </w:r>
      <w:r w:rsidR="00791D7E">
        <w:rPr>
          <w:highlight w:val="white"/>
        </w:rPr>
        <w:t>are</w:t>
      </w:r>
      <w:r w:rsidRPr="00C66395">
        <w:rPr>
          <w:highlight w:val="white"/>
        </w:rPr>
        <w:t xml:space="preserve"> also </w:t>
      </w:r>
      <w:r w:rsidR="00791D7E">
        <w:rPr>
          <w:highlight w:val="white"/>
        </w:rPr>
        <w:t xml:space="preserve">examples of </w:t>
      </w:r>
      <w:r w:rsidRPr="00C66395">
        <w:rPr>
          <w:highlight w:val="white"/>
        </w:rPr>
        <w:t xml:space="preserve">language that cites both protection and participation together within an individual provision, but with the aim of attempting to balance the participation/empowerment </w:t>
      </w:r>
      <w:r w:rsidR="00CF14C6">
        <w:rPr>
          <w:highlight w:val="white"/>
        </w:rPr>
        <w:t>and</w:t>
      </w:r>
      <w:r w:rsidRPr="00C66395">
        <w:rPr>
          <w:highlight w:val="white"/>
        </w:rPr>
        <w:t xml:space="preserve"> protection/victimhood binary. For example, UNSCR 1888 notes </w:t>
      </w:r>
      <w:r w:rsidR="006E1D1F">
        <w:rPr>
          <w:highlight w:val="white"/>
        </w:rPr>
        <w:t>‘</w:t>
      </w:r>
      <w:r w:rsidRPr="00C66395">
        <w:rPr>
          <w:highlight w:val="white"/>
        </w:rPr>
        <w:t>that women in situations of armed conflict and post-conflict situations continue to be often considered as victims and not as actors in addressing and resolving situations of armed conflict and stressing the need to focus not only on protection of women but also on their empowerment in peacebuilding…</w:t>
      </w:r>
      <w:proofErr w:type="gramStart"/>
      <w:r w:rsidR="006E1D1F">
        <w:rPr>
          <w:highlight w:val="white"/>
        </w:rPr>
        <w:t>’</w:t>
      </w:r>
      <w:r w:rsidRPr="00C66395">
        <w:rPr>
          <w:highlight w:val="white"/>
        </w:rPr>
        <w:t xml:space="preserve"> .</w:t>
      </w:r>
      <w:proofErr w:type="gramEnd"/>
      <w:r w:rsidR="006E1D1F">
        <w:rPr>
          <w:rStyle w:val="FootnoteReference"/>
          <w:highlight w:val="white"/>
        </w:rPr>
        <w:footnoteReference w:id="87"/>
      </w:r>
      <w:r w:rsidRPr="00C66395">
        <w:rPr>
          <w:highlight w:val="white"/>
        </w:rPr>
        <w:t> </w:t>
      </w:r>
    </w:p>
    <w:p w14:paraId="7F143D30" w14:textId="523576DF" w:rsidR="00542D33" w:rsidRPr="00C66395" w:rsidRDefault="00C66395" w:rsidP="00E64B67">
      <w:pPr>
        <w:spacing w:line="360" w:lineRule="auto"/>
        <w:ind w:firstLine="720"/>
        <w:jc w:val="both"/>
        <w:rPr>
          <w:highlight w:val="white"/>
        </w:rPr>
      </w:pPr>
      <w:r w:rsidRPr="00C66395">
        <w:rPr>
          <w:highlight w:val="white"/>
        </w:rPr>
        <w:t xml:space="preserve">In language such as this, the concern </w:t>
      </w:r>
      <w:r w:rsidR="000F6C18">
        <w:rPr>
          <w:highlight w:val="white"/>
        </w:rPr>
        <w:t xml:space="preserve">once again </w:t>
      </w:r>
      <w:r w:rsidRPr="00C66395">
        <w:rPr>
          <w:highlight w:val="white"/>
        </w:rPr>
        <w:t xml:space="preserve">is with balancing </w:t>
      </w:r>
      <w:r w:rsidR="000F6C18">
        <w:rPr>
          <w:highlight w:val="white"/>
        </w:rPr>
        <w:t>a</w:t>
      </w:r>
      <w:r w:rsidRPr="00C66395">
        <w:rPr>
          <w:highlight w:val="white"/>
        </w:rPr>
        <w:t xml:space="preserve"> binary, but not necessarily addressing the protection concerns relating to participation. As the agenda progresses, </w:t>
      </w:r>
      <w:r w:rsidR="00E75271">
        <w:rPr>
          <w:highlight w:val="white"/>
        </w:rPr>
        <w:t>the specific</w:t>
      </w:r>
      <w:r w:rsidRPr="00C66395">
        <w:rPr>
          <w:highlight w:val="white"/>
        </w:rPr>
        <w:t xml:space="preserve"> concern with balancing agency and victimhood seems to inform attempts to ensure </w:t>
      </w:r>
      <w:r w:rsidRPr="00C66395">
        <w:rPr>
          <w:highlight w:val="white"/>
        </w:rPr>
        <w:lastRenderedPageBreak/>
        <w:t>reference to participation in the protection resolutions</w:t>
      </w:r>
      <w:r w:rsidR="0025445E">
        <w:rPr>
          <w:highlight w:val="white"/>
        </w:rPr>
        <w:t>, and vice versa</w:t>
      </w:r>
      <w:r w:rsidRPr="00C66395">
        <w:rPr>
          <w:highlight w:val="white"/>
        </w:rPr>
        <w:t>. </w:t>
      </w:r>
      <w:r w:rsidR="00D039CA">
        <w:rPr>
          <w:highlight w:val="white"/>
        </w:rPr>
        <w:t xml:space="preserve">A critical concern is what this effort at counter-balancing portends to? Is it simply recognition of the need for balance? Or does it represent a more substantive understanding that it is not just the binary that is problematic, </w:t>
      </w:r>
      <w:r w:rsidR="0025445E">
        <w:rPr>
          <w:highlight w:val="white"/>
        </w:rPr>
        <w:t>but</w:t>
      </w:r>
      <w:r w:rsidR="00D039CA">
        <w:rPr>
          <w:highlight w:val="white"/>
        </w:rPr>
        <w:t xml:space="preserve"> also the parameters of what agency and victimhood have come to mean through this agenda</w:t>
      </w:r>
      <w:r w:rsidR="00A2608E">
        <w:rPr>
          <w:highlight w:val="white"/>
        </w:rPr>
        <w:t>?</w:t>
      </w:r>
      <w:r w:rsidR="00D039CA">
        <w:rPr>
          <w:highlight w:val="white"/>
        </w:rPr>
        <w:t xml:space="preserve"> </w:t>
      </w:r>
      <w:r w:rsidR="005B428D">
        <w:rPr>
          <w:highlight w:val="white"/>
        </w:rPr>
        <w:t xml:space="preserve">Agency is not simply </w:t>
      </w:r>
      <w:r w:rsidR="00FA609A">
        <w:rPr>
          <w:highlight w:val="white"/>
        </w:rPr>
        <w:t xml:space="preserve">about participation, and protection is not only about CRSV. </w:t>
      </w:r>
      <w:r w:rsidR="00D039CA" w:rsidRPr="00542D33">
        <w:rPr>
          <w:highlight w:val="white"/>
        </w:rPr>
        <w:t>As states clamoured to be seen to rescu</w:t>
      </w:r>
      <w:r w:rsidR="00FA609A">
        <w:rPr>
          <w:highlight w:val="white"/>
        </w:rPr>
        <w:t>e</w:t>
      </w:r>
      <w:r w:rsidR="00D039CA" w:rsidRPr="00542D33">
        <w:rPr>
          <w:highlight w:val="white"/>
        </w:rPr>
        <w:t xml:space="preserve"> women from </w:t>
      </w:r>
      <w:r w:rsidR="00FA609A">
        <w:rPr>
          <w:highlight w:val="white"/>
        </w:rPr>
        <w:t>CRSV</w:t>
      </w:r>
      <w:r w:rsidR="00D039CA" w:rsidRPr="00542D33">
        <w:rPr>
          <w:highlight w:val="white"/>
        </w:rPr>
        <w:t xml:space="preserve"> in the early resolutions, and as they recently clamoured to be seen to be rescuing women from Afghanistan,</w:t>
      </w:r>
      <w:r w:rsidR="00D039CA">
        <w:rPr>
          <w:highlight w:val="white"/>
        </w:rPr>
        <w:t xml:space="preserve"> there is little evidence </w:t>
      </w:r>
      <w:r w:rsidR="00FA609A">
        <w:rPr>
          <w:highlight w:val="white"/>
        </w:rPr>
        <w:t>that this counter-balancing is an e</w:t>
      </w:r>
      <w:r w:rsidR="00D039CA">
        <w:rPr>
          <w:highlight w:val="white"/>
        </w:rPr>
        <w:t xml:space="preserve">ffort to disrupt </w:t>
      </w:r>
      <w:r w:rsidR="00FA609A">
        <w:rPr>
          <w:highlight w:val="white"/>
        </w:rPr>
        <w:t xml:space="preserve">the reductive parameters of agency and victimhood that the binary is based upon. </w:t>
      </w:r>
      <w:r w:rsidR="00E64B67">
        <w:t>There is little evidence</w:t>
      </w:r>
      <w:r w:rsidR="00A2608E">
        <w:t xml:space="preserve"> of</w:t>
      </w:r>
      <w:r w:rsidR="00E64B67">
        <w:t xml:space="preserve"> any acknowledgement that agency can be ‘</w:t>
      </w:r>
      <w:r w:rsidR="00E64B67" w:rsidRPr="003553FB">
        <w:t>both a rupture in the familiar representation of women-as-victim and an additional burden for (some) women to bear.</w:t>
      </w:r>
      <w:r w:rsidR="00E64B67">
        <w:t>’</w:t>
      </w:r>
      <w:r w:rsidR="00E64B67">
        <w:rPr>
          <w:rStyle w:val="FootnoteReference"/>
        </w:rPr>
        <w:footnoteReference w:id="88"/>
      </w:r>
      <w:r w:rsidR="00E64B67">
        <w:t xml:space="preserve"> </w:t>
      </w:r>
      <w:r w:rsidR="00B0060E">
        <w:rPr>
          <w:highlight w:val="white"/>
        </w:rPr>
        <w:t xml:space="preserve">There is need for a better understanding and response to </w:t>
      </w:r>
      <w:r w:rsidR="00D524BC" w:rsidRPr="00542D33">
        <w:rPr>
          <w:highlight w:val="white"/>
        </w:rPr>
        <w:t xml:space="preserve">the potency of </w:t>
      </w:r>
      <w:r w:rsidR="00D524BC">
        <w:rPr>
          <w:highlight w:val="white"/>
        </w:rPr>
        <w:t>the</w:t>
      </w:r>
      <w:r w:rsidR="00D524BC" w:rsidRPr="00542D33">
        <w:rPr>
          <w:highlight w:val="white"/>
        </w:rPr>
        <w:t xml:space="preserve"> </w:t>
      </w:r>
      <w:r w:rsidR="00B0060E">
        <w:rPr>
          <w:highlight w:val="white"/>
        </w:rPr>
        <w:t xml:space="preserve">pull of this agenda and of how </w:t>
      </w:r>
      <w:r w:rsidR="00D524BC">
        <w:rPr>
          <w:highlight w:val="white"/>
        </w:rPr>
        <w:t xml:space="preserve">empowerment and </w:t>
      </w:r>
      <w:r w:rsidR="00D524BC" w:rsidRPr="00542D33">
        <w:rPr>
          <w:highlight w:val="white"/>
        </w:rPr>
        <w:t>victimhood narratives</w:t>
      </w:r>
      <w:r w:rsidR="00B0060E">
        <w:rPr>
          <w:highlight w:val="white"/>
        </w:rPr>
        <w:t xml:space="preserve"> </w:t>
      </w:r>
      <w:r w:rsidR="00D524BC" w:rsidRPr="00542D33">
        <w:rPr>
          <w:highlight w:val="white"/>
        </w:rPr>
        <w:t>ha</w:t>
      </w:r>
      <w:r w:rsidR="00D524BC">
        <w:rPr>
          <w:highlight w:val="white"/>
        </w:rPr>
        <w:t>ve</w:t>
      </w:r>
      <w:r w:rsidR="00D524BC" w:rsidRPr="00542D33">
        <w:rPr>
          <w:highlight w:val="white"/>
        </w:rPr>
        <w:t xml:space="preserve"> driven </w:t>
      </w:r>
      <w:r w:rsidR="00B0060E">
        <w:rPr>
          <w:highlight w:val="white"/>
        </w:rPr>
        <w:t>its</w:t>
      </w:r>
      <w:r w:rsidR="00D524BC" w:rsidRPr="00542D33">
        <w:rPr>
          <w:highlight w:val="white"/>
        </w:rPr>
        <w:t xml:space="preserve"> notoriety and status</w:t>
      </w:r>
      <w:r w:rsidR="00B0060E">
        <w:rPr>
          <w:highlight w:val="white"/>
        </w:rPr>
        <w:t xml:space="preserve">. </w:t>
      </w:r>
      <w:r w:rsidR="00D524BC" w:rsidRPr="00542D33">
        <w:rPr>
          <w:highlight w:val="white"/>
        </w:rPr>
        <w:t xml:space="preserve"> </w:t>
      </w:r>
      <w:r w:rsidR="00B0060E">
        <w:rPr>
          <w:highlight w:val="white"/>
        </w:rPr>
        <w:t xml:space="preserve">Better attention to the </w:t>
      </w:r>
      <w:r w:rsidR="00D524BC">
        <w:rPr>
          <w:highlight w:val="white"/>
        </w:rPr>
        <w:t>re</w:t>
      </w:r>
      <w:r w:rsidR="00D524BC" w:rsidRPr="00542D33">
        <w:rPr>
          <w:highlight w:val="white"/>
        </w:rPr>
        <w:t>produc</w:t>
      </w:r>
      <w:r w:rsidR="00B0060E">
        <w:rPr>
          <w:highlight w:val="white"/>
        </w:rPr>
        <w:t xml:space="preserve">tion of </w:t>
      </w:r>
      <w:r w:rsidR="00D524BC" w:rsidRPr="00542D33">
        <w:rPr>
          <w:highlight w:val="white"/>
        </w:rPr>
        <w:t xml:space="preserve">political and legal meaning attributed to protection in respect to participation </w:t>
      </w:r>
      <w:r w:rsidR="00D524BC">
        <w:rPr>
          <w:highlight w:val="white"/>
        </w:rPr>
        <w:t>is needed</w:t>
      </w:r>
      <w:r w:rsidR="000B03D6">
        <w:rPr>
          <w:highlight w:val="white"/>
        </w:rPr>
        <w:t xml:space="preserve"> as the agenda continues to evolve</w:t>
      </w:r>
      <w:r w:rsidR="00D524BC" w:rsidRPr="00542D33">
        <w:rPr>
          <w:highlight w:val="white"/>
        </w:rPr>
        <w:t>.</w:t>
      </w:r>
      <w:r w:rsidR="00D524BC" w:rsidRPr="00542D33">
        <w:rPr>
          <w:highlight w:val="white"/>
          <w:vertAlign w:val="superscript"/>
        </w:rPr>
        <w:footnoteReference w:id="89"/>
      </w:r>
      <w:r w:rsidR="00D524BC" w:rsidRPr="00542D33">
        <w:rPr>
          <w:highlight w:val="white"/>
        </w:rPr>
        <w:t xml:space="preserve"> </w:t>
      </w:r>
      <w:r w:rsidR="00FA609A">
        <w:rPr>
          <w:highlight w:val="white"/>
        </w:rPr>
        <w:t>A</w:t>
      </w:r>
      <w:r w:rsidR="00542D33" w:rsidRPr="00542D33">
        <w:rPr>
          <w:highlight w:val="white"/>
        </w:rPr>
        <w:t xml:space="preserve"> fundamental shift in how the agenda sees and understands gender, and how it sees and understands its role in promulgating legal and political norms that reproduce gendered and racial hierarchies</w:t>
      </w:r>
      <w:r w:rsidR="000B03D6">
        <w:rPr>
          <w:highlight w:val="white"/>
        </w:rPr>
        <w:t>,</w:t>
      </w:r>
      <w:r w:rsidR="00542D33" w:rsidRPr="00542D33">
        <w:rPr>
          <w:highlight w:val="white"/>
        </w:rPr>
        <w:t xml:space="preserve"> </w:t>
      </w:r>
      <w:r w:rsidR="00D524BC">
        <w:rPr>
          <w:highlight w:val="white"/>
        </w:rPr>
        <w:t xml:space="preserve">as well as the binaries </w:t>
      </w:r>
      <w:r w:rsidR="00542D33" w:rsidRPr="00542D33">
        <w:rPr>
          <w:highlight w:val="white"/>
        </w:rPr>
        <w:t>that mediate women’s lives</w:t>
      </w:r>
      <w:r w:rsidR="00FA609A">
        <w:rPr>
          <w:highlight w:val="white"/>
        </w:rPr>
        <w:t>, remains absent</w:t>
      </w:r>
      <w:r w:rsidR="00D524BC">
        <w:rPr>
          <w:highlight w:val="white"/>
        </w:rPr>
        <w:t xml:space="preserve"> in the texts</w:t>
      </w:r>
      <w:r w:rsidR="00542D33" w:rsidRPr="00542D33">
        <w:rPr>
          <w:highlight w:val="white"/>
        </w:rPr>
        <w:t xml:space="preserve">. </w:t>
      </w:r>
    </w:p>
    <w:p w14:paraId="594EBAFC" w14:textId="77777777" w:rsidR="00C66395" w:rsidRPr="00C66395" w:rsidRDefault="00C66395" w:rsidP="00C66395">
      <w:pPr>
        <w:spacing w:line="360" w:lineRule="auto"/>
        <w:ind w:firstLine="720"/>
        <w:jc w:val="both"/>
        <w:rPr>
          <w:highlight w:val="white"/>
        </w:rPr>
      </w:pPr>
      <w:r w:rsidRPr="00C66395">
        <w:rPr>
          <w:highlight w:val="white"/>
        </w:rPr>
        <w:t> </w:t>
      </w:r>
    </w:p>
    <w:p w14:paraId="3C6829EB" w14:textId="64B86E98" w:rsidR="00C66395" w:rsidRPr="00C66395" w:rsidRDefault="00C66395" w:rsidP="0047076F">
      <w:pPr>
        <w:pStyle w:val="Heading3"/>
        <w:numPr>
          <w:ilvl w:val="0"/>
          <w:numId w:val="19"/>
        </w:numPr>
        <w:rPr>
          <w:highlight w:val="white"/>
        </w:rPr>
      </w:pPr>
      <w:r w:rsidRPr="00C66395">
        <w:rPr>
          <w:highlight w:val="white"/>
        </w:rPr>
        <w:t xml:space="preserve">Women’s Participation as </w:t>
      </w:r>
      <w:r w:rsidR="00B97FC8">
        <w:rPr>
          <w:highlight w:val="white"/>
        </w:rPr>
        <w:t xml:space="preserve">a Form of </w:t>
      </w:r>
      <w:r w:rsidRPr="00C66395">
        <w:rPr>
          <w:highlight w:val="white"/>
        </w:rPr>
        <w:t>Protection </w:t>
      </w:r>
    </w:p>
    <w:p w14:paraId="031CE415" w14:textId="77777777" w:rsidR="00C66395" w:rsidRPr="00C66395" w:rsidRDefault="00C66395" w:rsidP="00C66395">
      <w:pPr>
        <w:spacing w:line="360" w:lineRule="auto"/>
        <w:ind w:firstLine="720"/>
        <w:jc w:val="both"/>
        <w:rPr>
          <w:highlight w:val="white"/>
        </w:rPr>
      </w:pPr>
      <w:r w:rsidRPr="00C66395">
        <w:rPr>
          <w:highlight w:val="white"/>
        </w:rPr>
        <w:t> </w:t>
      </w:r>
    </w:p>
    <w:p w14:paraId="0666A697" w14:textId="76A8BA22" w:rsidR="00C66395" w:rsidRPr="00C66395" w:rsidRDefault="00C66395" w:rsidP="00C66395">
      <w:pPr>
        <w:spacing w:line="360" w:lineRule="auto"/>
        <w:ind w:firstLine="720"/>
        <w:jc w:val="both"/>
        <w:rPr>
          <w:highlight w:val="white"/>
        </w:rPr>
      </w:pPr>
      <w:r w:rsidRPr="00C66395">
        <w:rPr>
          <w:highlight w:val="white"/>
        </w:rPr>
        <w:t>Participation and protection appear together in language that attempt</w:t>
      </w:r>
      <w:r w:rsidR="00305B48">
        <w:rPr>
          <w:highlight w:val="white"/>
        </w:rPr>
        <w:t xml:space="preserve">s </w:t>
      </w:r>
      <w:r w:rsidRPr="00C66395">
        <w:rPr>
          <w:highlight w:val="white"/>
        </w:rPr>
        <w:t xml:space="preserve">to advance </w:t>
      </w:r>
      <w:r w:rsidRPr="00C66395">
        <w:rPr>
          <w:i/>
          <w:iCs/>
          <w:highlight w:val="white"/>
        </w:rPr>
        <w:t xml:space="preserve">women’s participation within </w:t>
      </w:r>
      <w:r w:rsidRPr="00305B48">
        <w:rPr>
          <w:highlight w:val="white"/>
        </w:rPr>
        <w:t>system-wide</w:t>
      </w:r>
      <w:r w:rsidRPr="00C66395">
        <w:rPr>
          <w:i/>
          <w:iCs/>
          <w:highlight w:val="white"/>
        </w:rPr>
        <w:t xml:space="preserve"> </w:t>
      </w:r>
      <w:r w:rsidRPr="00C66395">
        <w:rPr>
          <w:highlight w:val="white"/>
        </w:rPr>
        <w:t>entities</w:t>
      </w:r>
      <w:r w:rsidR="00305B48">
        <w:rPr>
          <w:highlight w:val="white"/>
        </w:rPr>
        <w:t xml:space="preserve"> </w:t>
      </w:r>
      <w:r w:rsidRPr="00C66395">
        <w:rPr>
          <w:highlight w:val="white"/>
        </w:rPr>
        <w:t xml:space="preserve">and mechanisms </w:t>
      </w:r>
      <w:r w:rsidR="00305B48">
        <w:rPr>
          <w:highlight w:val="white"/>
        </w:rPr>
        <w:t>whose function is to</w:t>
      </w:r>
      <w:r w:rsidRPr="00C66395">
        <w:rPr>
          <w:highlight w:val="white"/>
        </w:rPr>
        <w:t xml:space="preserve"> provide protection in conflict and peacebuilding contexts, such as policing and peacekeeping. </w:t>
      </w:r>
      <w:r w:rsidR="00305B48">
        <w:rPr>
          <w:highlight w:val="white"/>
        </w:rPr>
        <w:t>This language is</w:t>
      </w:r>
      <w:r w:rsidRPr="00C66395">
        <w:rPr>
          <w:highlight w:val="white"/>
        </w:rPr>
        <w:t xml:space="preserve"> premised on the assumption that (some) women’s participation within </w:t>
      </w:r>
      <w:r w:rsidR="00305B48">
        <w:rPr>
          <w:highlight w:val="white"/>
        </w:rPr>
        <w:t>these</w:t>
      </w:r>
      <w:r w:rsidRPr="00C66395">
        <w:rPr>
          <w:highlight w:val="white"/>
        </w:rPr>
        <w:t xml:space="preserve"> protection mechanisms will enhance (other) women’s overall protection. For example, UNSCR 1820 </w:t>
      </w:r>
    </w:p>
    <w:p w14:paraId="203C5057" w14:textId="77777777" w:rsidR="00305B48" w:rsidRDefault="00305B48" w:rsidP="005259A6">
      <w:pPr>
        <w:spacing w:line="360" w:lineRule="auto"/>
        <w:ind w:firstLine="720"/>
        <w:jc w:val="both"/>
        <w:rPr>
          <w:highlight w:val="white"/>
        </w:rPr>
      </w:pPr>
    </w:p>
    <w:p w14:paraId="5E768094" w14:textId="41F99E57" w:rsidR="00C66395" w:rsidRDefault="00C66395" w:rsidP="005259A6">
      <w:pPr>
        <w:spacing w:line="360" w:lineRule="auto"/>
        <w:ind w:firstLine="720"/>
        <w:jc w:val="both"/>
        <w:rPr>
          <w:highlight w:val="white"/>
        </w:rPr>
      </w:pPr>
      <w:r w:rsidRPr="00C66395">
        <w:rPr>
          <w:highlight w:val="white"/>
        </w:rPr>
        <w:t xml:space="preserve">Encourages troop and police contributing countries…to heighten awareness and the responsiveness of their personnel participating in UN peacekeeping operations to protect civilians, </w:t>
      </w:r>
      <w:r w:rsidRPr="00C66395">
        <w:rPr>
          <w:highlight w:val="white"/>
        </w:rPr>
        <w:lastRenderedPageBreak/>
        <w:t>including women and children, and prevent sexual violence against women and girls in conflict and post-conflict situations, including wherever possible the deployment of a higher percentage of women peacekeepers or police.</w:t>
      </w:r>
      <w:r w:rsidR="005259A6">
        <w:rPr>
          <w:rStyle w:val="FootnoteReference"/>
          <w:highlight w:val="white"/>
        </w:rPr>
        <w:footnoteReference w:id="90"/>
      </w:r>
      <w:r w:rsidRPr="00C66395">
        <w:rPr>
          <w:highlight w:val="white"/>
        </w:rPr>
        <w:t xml:space="preserve"> </w:t>
      </w:r>
    </w:p>
    <w:p w14:paraId="1882F6EE" w14:textId="77777777" w:rsidR="005259A6" w:rsidRPr="00C66395" w:rsidRDefault="005259A6" w:rsidP="005259A6">
      <w:pPr>
        <w:spacing w:line="360" w:lineRule="auto"/>
        <w:ind w:firstLine="720"/>
        <w:jc w:val="both"/>
        <w:rPr>
          <w:highlight w:val="white"/>
        </w:rPr>
      </w:pPr>
    </w:p>
    <w:p w14:paraId="0E305161" w14:textId="49C4833F" w:rsidR="0020445A" w:rsidRDefault="00C66395" w:rsidP="0020445A">
      <w:pPr>
        <w:spacing w:line="360" w:lineRule="auto"/>
        <w:ind w:firstLine="720"/>
        <w:jc w:val="both"/>
        <w:rPr>
          <w:highlight w:val="white"/>
        </w:rPr>
      </w:pPr>
      <w:r w:rsidRPr="00C66395">
        <w:rPr>
          <w:highlight w:val="white"/>
        </w:rPr>
        <w:t xml:space="preserve">Similarly, UNSCR 2106 </w:t>
      </w:r>
      <w:r w:rsidR="005259A6">
        <w:rPr>
          <w:highlight w:val="white"/>
        </w:rPr>
        <w:t>‘</w:t>
      </w:r>
      <w:r w:rsidRPr="00C66395">
        <w:rPr>
          <w:highlight w:val="white"/>
        </w:rPr>
        <w:t>stresses women’s participation as essential to any prevention and protection response…</w:t>
      </w:r>
      <w:r w:rsidR="005259A6">
        <w:rPr>
          <w:highlight w:val="white"/>
        </w:rPr>
        <w:t>’.</w:t>
      </w:r>
      <w:r w:rsidR="005259A6">
        <w:rPr>
          <w:rStyle w:val="FootnoteReference"/>
          <w:highlight w:val="white"/>
        </w:rPr>
        <w:footnoteReference w:id="91"/>
      </w:r>
      <w:r w:rsidRPr="00C66395">
        <w:rPr>
          <w:highlight w:val="white"/>
        </w:rPr>
        <w:t xml:space="preserve"> . </w:t>
      </w:r>
    </w:p>
    <w:p w14:paraId="73FABB1A" w14:textId="0F8ACF0B" w:rsidR="00D21CBE" w:rsidRDefault="00D21CBE" w:rsidP="00C66395">
      <w:pPr>
        <w:spacing w:line="360" w:lineRule="auto"/>
        <w:ind w:firstLine="720"/>
        <w:jc w:val="both"/>
        <w:rPr>
          <w:highlight w:val="white"/>
        </w:rPr>
      </w:pPr>
      <w:r>
        <w:rPr>
          <w:highlight w:val="white"/>
        </w:rPr>
        <w:t>In these examples of text</w:t>
      </w:r>
      <w:r w:rsidR="00C66395" w:rsidRPr="00C66395">
        <w:rPr>
          <w:highlight w:val="white"/>
        </w:rPr>
        <w:t xml:space="preserve">, the resolutions establish a role for </w:t>
      </w:r>
      <w:r>
        <w:rPr>
          <w:highlight w:val="white"/>
        </w:rPr>
        <w:t>‘</w:t>
      </w:r>
      <w:r w:rsidR="00C66395" w:rsidRPr="00C66395">
        <w:rPr>
          <w:highlight w:val="white"/>
        </w:rPr>
        <w:t>women</w:t>
      </w:r>
      <w:r>
        <w:rPr>
          <w:highlight w:val="white"/>
        </w:rPr>
        <w:t>’</w:t>
      </w:r>
      <w:r w:rsidR="00C66395" w:rsidRPr="00C66395">
        <w:rPr>
          <w:highlight w:val="white"/>
        </w:rPr>
        <w:t xml:space="preserve"> in their own protection. Some provisions go further, and seem to underline women’s participation </w:t>
      </w:r>
      <w:r w:rsidR="00C66395" w:rsidRPr="00C66395">
        <w:rPr>
          <w:i/>
          <w:iCs/>
          <w:highlight w:val="white"/>
        </w:rPr>
        <w:t>as a form of protection</w:t>
      </w:r>
      <w:r w:rsidR="00C66395" w:rsidRPr="00C66395">
        <w:rPr>
          <w:highlight w:val="white"/>
        </w:rPr>
        <w:t xml:space="preserve">, such as UNSCR 1960 </w:t>
      </w:r>
    </w:p>
    <w:p w14:paraId="5B358068" w14:textId="77777777" w:rsidR="00D21CBE" w:rsidRDefault="00D21CBE" w:rsidP="00C66395">
      <w:pPr>
        <w:spacing w:line="360" w:lineRule="auto"/>
        <w:ind w:firstLine="720"/>
        <w:jc w:val="both"/>
        <w:rPr>
          <w:highlight w:val="white"/>
        </w:rPr>
      </w:pPr>
    </w:p>
    <w:p w14:paraId="1F86C045" w14:textId="2E8C0474" w:rsidR="00D21CBE" w:rsidRDefault="005259A6" w:rsidP="00C66395">
      <w:pPr>
        <w:spacing w:line="360" w:lineRule="auto"/>
        <w:ind w:firstLine="720"/>
        <w:jc w:val="both"/>
        <w:rPr>
          <w:highlight w:val="white"/>
        </w:rPr>
      </w:pPr>
      <w:r>
        <w:rPr>
          <w:highlight w:val="white"/>
        </w:rPr>
        <w:t>‘</w:t>
      </w:r>
      <w:r w:rsidR="00C66395" w:rsidRPr="00C66395">
        <w:rPr>
          <w:highlight w:val="white"/>
        </w:rPr>
        <w:t>[w]</w:t>
      </w:r>
      <w:proofErr w:type="spellStart"/>
      <w:r w:rsidR="00C66395" w:rsidRPr="00C66395">
        <w:rPr>
          <w:highlight w:val="white"/>
        </w:rPr>
        <w:t>elcoming</w:t>
      </w:r>
      <w:proofErr w:type="spellEnd"/>
      <w:r w:rsidR="00C66395" w:rsidRPr="00C66395">
        <w:rPr>
          <w:highlight w:val="white"/>
        </w:rPr>
        <w:t xml:space="preserve"> the inclusion of women in peacekeeping missions in civil, military and police functions, recognizing that their presence may encourage women from local communities to report acts of sexual violence</w:t>
      </w:r>
      <w:r>
        <w:rPr>
          <w:highlight w:val="white"/>
        </w:rPr>
        <w:t>’.</w:t>
      </w:r>
      <w:r>
        <w:rPr>
          <w:rStyle w:val="FootnoteReference"/>
          <w:highlight w:val="white"/>
        </w:rPr>
        <w:footnoteReference w:id="92"/>
      </w:r>
      <w:r w:rsidR="00C66395" w:rsidRPr="00C66395">
        <w:rPr>
          <w:highlight w:val="white"/>
        </w:rPr>
        <w:t xml:space="preserve"> </w:t>
      </w:r>
    </w:p>
    <w:p w14:paraId="4C93947B" w14:textId="77777777" w:rsidR="00D21CBE" w:rsidRDefault="00D21CBE" w:rsidP="00C66395">
      <w:pPr>
        <w:spacing w:line="360" w:lineRule="auto"/>
        <w:ind w:firstLine="720"/>
        <w:jc w:val="both"/>
        <w:rPr>
          <w:highlight w:val="white"/>
        </w:rPr>
      </w:pPr>
    </w:p>
    <w:p w14:paraId="1B093A14" w14:textId="77777777" w:rsidR="00D21CBE" w:rsidRDefault="00C66395" w:rsidP="00C66395">
      <w:pPr>
        <w:spacing w:line="360" w:lineRule="auto"/>
        <w:ind w:firstLine="720"/>
        <w:jc w:val="both"/>
        <w:rPr>
          <w:highlight w:val="white"/>
        </w:rPr>
      </w:pPr>
      <w:r w:rsidRPr="00C66395">
        <w:rPr>
          <w:highlight w:val="white"/>
        </w:rPr>
        <w:t xml:space="preserve">UNSCR 2106 further </w:t>
      </w:r>
    </w:p>
    <w:p w14:paraId="15003733" w14:textId="77777777" w:rsidR="00D21CBE" w:rsidRDefault="00D21CBE" w:rsidP="00C66395">
      <w:pPr>
        <w:spacing w:line="360" w:lineRule="auto"/>
        <w:ind w:firstLine="720"/>
        <w:jc w:val="both"/>
        <w:rPr>
          <w:highlight w:val="white"/>
        </w:rPr>
      </w:pPr>
    </w:p>
    <w:p w14:paraId="52ACD8DB" w14:textId="445249B6" w:rsidR="00C66395" w:rsidRDefault="005259A6" w:rsidP="00C66395">
      <w:pPr>
        <w:spacing w:line="360" w:lineRule="auto"/>
        <w:ind w:firstLine="720"/>
        <w:jc w:val="both"/>
        <w:rPr>
          <w:highlight w:val="white"/>
        </w:rPr>
      </w:pPr>
      <w:r>
        <w:rPr>
          <w:highlight w:val="white"/>
        </w:rPr>
        <w:t>‘</w:t>
      </w:r>
      <w:r w:rsidR="00C66395" w:rsidRPr="00C66395">
        <w:rPr>
          <w:highlight w:val="white"/>
        </w:rPr>
        <w:t>[e]</w:t>
      </w:r>
      <w:proofErr w:type="spellStart"/>
      <w:r w:rsidR="00C66395" w:rsidRPr="00C66395">
        <w:rPr>
          <w:highlight w:val="white"/>
        </w:rPr>
        <w:t>mphasizes</w:t>
      </w:r>
      <w:proofErr w:type="spellEnd"/>
      <w:r w:rsidR="00C66395" w:rsidRPr="00C66395">
        <w:rPr>
          <w:highlight w:val="white"/>
        </w:rPr>
        <w:t xml:space="preserve"> the important role that can be played by women, civil society, including women’s organizations, and formal and informal community leaders in exerting influence over parties to armed conflict with respect to addressing sexual violence</w:t>
      </w:r>
      <w:r>
        <w:rPr>
          <w:highlight w:val="white"/>
        </w:rPr>
        <w:t>’.</w:t>
      </w:r>
      <w:r>
        <w:rPr>
          <w:rStyle w:val="FootnoteReference"/>
          <w:highlight w:val="white"/>
        </w:rPr>
        <w:footnoteReference w:id="93"/>
      </w:r>
    </w:p>
    <w:p w14:paraId="23E2AF13" w14:textId="77777777" w:rsidR="00D21CBE" w:rsidRPr="00C66395" w:rsidRDefault="00D21CBE" w:rsidP="00C66395">
      <w:pPr>
        <w:spacing w:line="360" w:lineRule="auto"/>
        <w:ind w:firstLine="720"/>
        <w:jc w:val="both"/>
        <w:rPr>
          <w:highlight w:val="white"/>
        </w:rPr>
      </w:pPr>
    </w:p>
    <w:p w14:paraId="4C082F8A" w14:textId="6CBC89D6" w:rsidR="00C66395" w:rsidRPr="00C66395" w:rsidRDefault="00074FB2" w:rsidP="00D370DC">
      <w:pPr>
        <w:spacing w:line="360" w:lineRule="auto"/>
        <w:ind w:firstLine="720"/>
        <w:jc w:val="both"/>
        <w:rPr>
          <w:highlight w:val="white"/>
        </w:rPr>
      </w:pPr>
      <w:r>
        <w:rPr>
          <w:highlight w:val="white"/>
        </w:rPr>
        <w:t>It is i</w:t>
      </w:r>
      <w:r w:rsidR="00C66395" w:rsidRPr="00C66395">
        <w:rPr>
          <w:highlight w:val="white"/>
        </w:rPr>
        <w:t xml:space="preserve">mportant to </w:t>
      </w:r>
      <w:r w:rsidR="00D81933">
        <w:rPr>
          <w:highlight w:val="white"/>
        </w:rPr>
        <w:t>note</w:t>
      </w:r>
      <w:r w:rsidR="00C66395" w:rsidRPr="00C66395">
        <w:rPr>
          <w:highlight w:val="white"/>
        </w:rPr>
        <w:t xml:space="preserve"> that these provisions primarily refer to </w:t>
      </w:r>
      <w:r w:rsidR="00C66395" w:rsidRPr="00C66395">
        <w:rPr>
          <w:i/>
          <w:iCs/>
          <w:highlight w:val="white"/>
        </w:rPr>
        <w:t>some</w:t>
      </w:r>
      <w:r w:rsidR="00C66395" w:rsidRPr="00C66395">
        <w:rPr>
          <w:highlight w:val="white"/>
        </w:rPr>
        <w:t xml:space="preserve"> women’s participation as a form of protection for </w:t>
      </w:r>
      <w:r w:rsidR="00C66395" w:rsidRPr="00C66395">
        <w:rPr>
          <w:i/>
          <w:iCs/>
          <w:highlight w:val="white"/>
        </w:rPr>
        <w:t>other</w:t>
      </w:r>
      <w:r w:rsidR="00C66395" w:rsidRPr="00C66395">
        <w:rPr>
          <w:highlight w:val="white"/>
        </w:rPr>
        <w:t xml:space="preserve"> women </w:t>
      </w:r>
      <w:r w:rsidR="00D81933">
        <w:rPr>
          <w:highlight w:val="white"/>
        </w:rPr>
        <w:t>who are</w:t>
      </w:r>
      <w:r w:rsidR="00C66395" w:rsidRPr="00C66395">
        <w:rPr>
          <w:highlight w:val="white"/>
        </w:rPr>
        <w:t xml:space="preserve"> subject to the services provided by those entities. </w:t>
      </w:r>
      <w:r w:rsidR="0078530F">
        <w:rPr>
          <w:highlight w:val="white"/>
        </w:rPr>
        <w:t xml:space="preserve">Women are assumed to placate </w:t>
      </w:r>
      <w:r w:rsidR="0020445A">
        <w:rPr>
          <w:highlight w:val="white"/>
        </w:rPr>
        <w:t xml:space="preserve">the </w:t>
      </w:r>
      <w:r w:rsidR="0078530F">
        <w:rPr>
          <w:highlight w:val="white"/>
        </w:rPr>
        <w:t xml:space="preserve">men </w:t>
      </w:r>
      <w:r w:rsidR="0020445A">
        <w:rPr>
          <w:highlight w:val="white"/>
        </w:rPr>
        <w:t xml:space="preserve">within those institutions and services, </w:t>
      </w:r>
      <w:r w:rsidR="0078530F">
        <w:rPr>
          <w:highlight w:val="white"/>
        </w:rPr>
        <w:t xml:space="preserve">while protecting other women, </w:t>
      </w:r>
      <w:r w:rsidR="00555EB5">
        <w:rPr>
          <w:highlight w:val="white"/>
        </w:rPr>
        <w:t>an instrumentalist approach to</w:t>
      </w:r>
      <w:r w:rsidR="0020445A">
        <w:rPr>
          <w:highlight w:val="white"/>
        </w:rPr>
        <w:t>wards</w:t>
      </w:r>
      <w:r w:rsidR="00555EB5">
        <w:rPr>
          <w:highlight w:val="white"/>
        </w:rPr>
        <w:t xml:space="preserve"> using women as protection leverage</w:t>
      </w:r>
      <w:r w:rsidR="0020445A">
        <w:rPr>
          <w:highlight w:val="white"/>
        </w:rPr>
        <w:t>.</w:t>
      </w:r>
      <w:r w:rsidR="00555EB5">
        <w:rPr>
          <w:rStyle w:val="FootnoteReference"/>
          <w:highlight w:val="white"/>
        </w:rPr>
        <w:footnoteReference w:id="94"/>
      </w:r>
      <w:r w:rsidR="00555EB5">
        <w:rPr>
          <w:highlight w:val="white"/>
        </w:rPr>
        <w:t xml:space="preserve"> </w:t>
      </w:r>
      <w:r w:rsidR="0020445A">
        <w:rPr>
          <w:highlight w:val="white"/>
        </w:rPr>
        <w:t>This amounts to</w:t>
      </w:r>
      <w:r w:rsidR="00555EB5">
        <w:rPr>
          <w:highlight w:val="white"/>
        </w:rPr>
        <w:t xml:space="preserve"> </w:t>
      </w:r>
      <w:r w:rsidR="0078530F">
        <w:rPr>
          <w:highlight w:val="white"/>
        </w:rPr>
        <w:t xml:space="preserve">a clear strategy of </w:t>
      </w:r>
      <w:r w:rsidR="0020445A">
        <w:rPr>
          <w:highlight w:val="white"/>
        </w:rPr>
        <w:t xml:space="preserve">the </w:t>
      </w:r>
      <w:r w:rsidR="0078530F">
        <w:rPr>
          <w:highlight w:val="white"/>
        </w:rPr>
        <w:t>securitisation of women’s participation</w:t>
      </w:r>
      <w:r w:rsidR="00555EB5">
        <w:rPr>
          <w:highlight w:val="white"/>
        </w:rPr>
        <w:t>.</w:t>
      </w:r>
      <w:r w:rsidR="00D370DC">
        <w:rPr>
          <w:highlight w:val="white"/>
        </w:rPr>
        <w:t xml:space="preserve"> This approach to language in the text of the resolutions also generates </w:t>
      </w:r>
      <w:r w:rsidR="0078530F">
        <w:rPr>
          <w:highlight w:val="white"/>
        </w:rPr>
        <w:t>h</w:t>
      </w:r>
      <w:r w:rsidR="00F2100D">
        <w:rPr>
          <w:highlight w:val="white"/>
        </w:rPr>
        <w:t>ierarchies</w:t>
      </w:r>
      <w:r w:rsidR="00C66395" w:rsidRPr="00C66395">
        <w:rPr>
          <w:highlight w:val="white"/>
        </w:rPr>
        <w:t xml:space="preserve"> </w:t>
      </w:r>
      <w:r w:rsidR="00F2100D">
        <w:rPr>
          <w:highlight w:val="white"/>
        </w:rPr>
        <w:t xml:space="preserve">among </w:t>
      </w:r>
      <w:r w:rsidR="00C66395" w:rsidRPr="00C66395">
        <w:rPr>
          <w:highlight w:val="white"/>
        </w:rPr>
        <w:t>women</w:t>
      </w:r>
      <w:r w:rsidR="001C413D">
        <w:rPr>
          <w:highlight w:val="white"/>
        </w:rPr>
        <w:t>. W</w:t>
      </w:r>
      <w:r w:rsidR="00F2100D">
        <w:rPr>
          <w:highlight w:val="white"/>
        </w:rPr>
        <w:t>ithin na</w:t>
      </w:r>
      <w:r w:rsidR="000A4FD6">
        <w:rPr>
          <w:highlight w:val="white"/>
        </w:rPr>
        <w:t xml:space="preserve">tional </w:t>
      </w:r>
      <w:r w:rsidR="000A4FD6">
        <w:rPr>
          <w:highlight w:val="white"/>
        </w:rPr>
        <w:lastRenderedPageBreak/>
        <w:t>contexts</w:t>
      </w:r>
      <w:r w:rsidR="001C413D">
        <w:rPr>
          <w:highlight w:val="white"/>
        </w:rPr>
        <w:t xml:space="preserve"> f</w:t>
      </w:r>
      <w:r w:rsidR="00F2100D">
        <w:rPr>
          <w:highlight w:val="white"/>
        </w:rPr>
        <w:t xml:space="preserve">or example, </w:t>
      </w:r>
      <w:r w:rsidR="000A4FD6">
        <w:rPr>
          <w:highlight w:val="white"/>
        </w:rPr>
        <w:t>women</w:t>
      </w:r>
      <w:r w:rsidR="00F2100D">
        <w:rPr>
          <w:highlight w:val="white"/>
        </w:rPr>
        <w:t xml:space="preserve"> </w:t>
      </w:r>
      <w:r w:rsidR="00C66395" w:rsidRPr="00C66395">
        <w:rPr>
          <w:highlight w:val="white"/>
        </w:rPr>
        <w:t xml:space="preserve">with </w:t>
      </w:r>
      <w:r w:rsidR="000A4FD6">
        <w:rPr>
          <w:highlight w:val="white"/>
        </w:rPr>
        <w:t>required</w:t>
      </w:r>
      <w:r w:rsidR="00C66395" w:rsidRPr="00C66395">
        <w:rPr>
          <w:highlight w:val="white"/>
        </w:rPr>
        <w:t xml:space="preserve"> levels of education</w:t>
      </w:r>
      <w:r w:rsidR="00F2100D">
        <w:rPr>
          <w:highlight w:val="white"/>
        </w:rPr>
        <w:t>, social capital</w:t>
      </w:r>
      <w:r w:rsidR="00C66395" w:rsidRPr="00C66395">
        <w:rPr>
          <w:highlight w:val="white"/>
        </w:rPr>
        <w:t xml:space="preserve"> or identity-related advantages may join national security </w:t>
      </w:r>
      <w:r w:rsidR="00F2100D">
        <w:rPr>
          <w:highlight w:val="white"/>
        </w:rPr>
        <w:t>bodies</w:t>
      </w:r>
      <w:r w:rsidR="00C66395" w:rsidRPr="00C66395">
        <w:rPr>
          <w:highlight w:val="white"/>
        </w:rPr>
        <w:t xml:space="preserve"> in post-conflict societies</w:t>
      </w:r>
      <w:r w:rsidR="00F2100D">
        <w:rPr>
          <w:highlight w:val="white"/>
        </w:rPr>
        <w:t xml:space="preserve"> and become the protectors, whereas women without those opportunities will not</w:t>
      </w:r>
      <w:r w:rsidR="00C66395" w:rsidRPr="00C66395">
        <w:rPr>
          <w:highlight w:val="white"/>
        </w:rPr>
        <w:t xml:space="preserve">. </w:t>
      </w:r>
      <w:r w:rsidR="00F2100D">
        <w:rPr>
          <w:highlight w:val="white"/>
        </w:rPr>
        <w:t xml:space="preserve"> Hierarchies are </w:t>
      </w:r>
      <w:r w:rsidR="000A4FD6">
        <w:rPr>
          <w:highlight w:val="white"/>
        </w:rPr>
        <w:t xml:space="preserve">also </w:t>
      </w:r>
      <w:r w:rsidR="00F2100D">
        <w:rPr>
          <w:highlight w:val="white"/>
        </w:rPr>
        <w:t xml:space="preserve">created between external </w:t>
      </w:r>
      <w:r w:rsidR="000A4FD6">
        <w:rPr>
          <w:highlight w:val="white"/>
        </w:rPr>
        <w:t xml:space="preserve">women coming into a national context through </w:t>
      </w:r>
      <w:r w:rsidR="0091465D">
        <w:rPr>
          <w:highlight w:val="white"/>
        </w:rPr>
        <w:t xml:space="preserve">international </w:t>
      </w:r>
      <w:r w:rsidR="000A4FD6">
        <w:rPr>
          <w:highlight w:val="white"/>
        </w:rPr>
        <w:t>protection mechanis</w:t>
      </w:r>
      <w:r w:rsidR="001C413D">
        <w:rPr>
          <w:highlight w:val="white"/>
        </w:rPr>
        <w:t xml:space="preserve">ms and </w:t>
      </w:r>
      <w:r w:rsidR="0091465D">
        <w:rPr>
          <w:highlight w:val="white"/>
        </w:rPr>
        <w:t xml:space="preserve">national </w:t>
      </w:r>
      <w:r w:rsidR="001C413D">
        <w:rPr>
          <w:highlight w:val="white"/>
        </w:rPr>
        <w:t xml:space="preserve">women </w:t>
      </w:r>
      <w:r w:rsidR="0091465D">
        <w:rPr>
          <w:highlight w:val="white"/>
        </w:rPr>
        <w:t xml:space="preserve">then </w:t>
      </w:r>
      <w:r w:rsidR="001C413D">
        <w:rPr>
          <w:highlight w:val="white"/>
        </w:rPr>
        <w:t xml:space="preserve">assumed to be subject to their ‘protection’. </w:t>
      </w:r>
      <w:r w:rsidR="0091465D">
        <w:rPr>
          <w:highlight w:val="white"/>
        </w:rPr>
        <w:t>Ignored is the fact that in many instances</w:t>
      </w:r>
      <w:r w:rsidR="00F2100D">
        <w:rPr>
          <w:highlight w:val="white"/>
        </w:rPr>
        <w:t xml:space="preserve">, </w:t>
      </w:r>
      <w:r w:rsidR="0091465D">
        <w:rPr>
          <w:highlight w:val="white"/>
        </w:rPr>
        <w:t xml:space="preserve">external </w:t>
      </w:r>
      <w:r w:rsidR="00F2100D">
        <w:rPr>
          <w:highlight w:val="white"/>
        </w:rPr>
        <w:t xml:space="preserve">women </w:t>
      </w:r>
      <w:r w:rsidR="0091465D">
        <w:rPr>
          <w:highlight w:val="white"/>
        </w:rPr>
        <w:t>arriving</w:t>
      </w:r>
      <w:r w:rsidR="00F2100D">
        <w:rPr>
          <w:highlight w:val="white"/>
        </w:rPr>
        <w:t xml:space="preserve"> in</w:t>
      </w:r>
      <w:r w:rsidR="000A4FD6">
        <w:rPr>
          <w:highlight w:val="white"/>
        </w:rPr>
        <w:t>to a national context</w:t>
      </w:r>
      <w:r w:rsidR="00F2100D">
        <w:rPr>
          <w:highlight w:val="white"/>
        </w:rPr>
        <w:t xml:space="preserve"> through p</w:t>
      </w:r>
      <w:r w:rsidR="00C66395" w:rsidRPr="00C66395">
        <w:rPr>
          <w:highlight w:val="white"/>
        </w:rPr>
        <w:t>eacekeep</w:t>
      </w:r>
      <w:r w:rsidR="00F2100D">
        <w:rPr>
          <w:highlight w:val="white"/>
        </w:rPr>
        <w:t xml:space="preserve">ing </w:t>
      </w:r>
      <w:r w:rsidR="000A4FD6">
        <w:rPr>
          <w:highlight w:val="white"/>
        </w:rPr>
        <w:t>generates</w:t>
      </w:r>
      <w:r w:rsidR="00C66395" w:rsidRPr="00C66395">
        <w:rPr>
          <w:highlight w:val="white"/>
        </w:rPr>
        <w:t xml:space="preserve"> a</w:t>
      </w:r>
      <w:r w:rsidR="00F2100D">
        <w:rPr>
          <w:highlight w:val="white"/>
        </w:rPr>
        <w:t xml:space="preserve">n array of </w:t>
      </w:r>
      <w:r w:rsidR="00C66395" w:rsidRPr="00C66395">
        <w:rPr>
          <w:highlight w:val="white"/>
        </w:rPr>
        <w:t xml:space="preserve">hierarchies of power between women in </w:t>
      </w:r>
      <w:r w:rsidR="00F2100D">
        <w:rPr>
          <w:highlight w:val="white"/>
        </w:rPr>
        <w:t>that</w:t>
      </w:r>
      <w:r w:rsidR="00C66395" w:rsidRPr="00C66395">
        <w:rPr>
          <w:highlight w:val="white"/>
        </w:rPr>
        <w:t xml:space="preserve"> protection role and those </w:t>
      </w:r>
      <w:r w:rsidR="00C66395" w:rsidRPr="000A4FD6">
        <w:rPr>
          <w:i/>
          <w:iCs/>
          <w:highlight w:val="white"/>
        </w:rPr>
        <w:t>subject</w:t>
      </w:r>
      <w:r w:rsidR="00C66395" w:rsidRPr="00C66395">
        <w:rPr>
          <w:highlight w:val="white"/>
        </w:rPr>
        <w:t xml:space="preserve"> to that protection.</w:t>
      </w:r>
      <w:r w:rsidR="004D26A9">
        <w:rPr>
          <w:rStyle w:val="FootnoteReference"/>
          <w:highlight w:val="white"/>
        </w:rPr>
        <w:footnoteReference w:id="95"/>
      </w:r>
      <w:r w:rsidR="00C66395" w:rsidRPr="00C66395">
        <w:rPr>
          <w:highlight w:val="white"/>
        </w:rPr>
        <w:t xml:space="preserve"> </w:t>
      </w:r>
      <w:r w:rsidR="00F10984">
        <w:rPr>
          <w:highlight w:val="white"/>
        </w:rPr>
        <w:t>The text</w:t>
      </w:r>
      <w:r w:rsidR="00C66395" w:rsidRPr="00C66395">
        <w:rPr>
          <w:highlight w:val="white"/>
        </w:rPr>
        <w:t xml:space="preserve"> is in effect a signal that some women can protect other women, </w:t>
      </w:r>
      <w:r w:rsidR="000A4FD6">
        <w:rPr>
          <w:highlight w:val="white"/>
        </w:rPr>
        <w:t>fuel</w:t>
      </w:r>
      <w:r w:rsidR="00F10984">
        <w:rPr>
          <w:highlight w:val="white"/>
        </w:rPr>
        <w:t>ling</w:t>
      </w:r>
      <w:r w:rsidR="000A4FD6">
        <w:rPr>
          <w:highlight w:val="white"/>
        </w:rPr>
        <w:t xml:space="preserve"> </w:t>
      </w:r>
      <w:r w:rsidR="00F10984">
        <w:rPr>
          <w:highlight w:val="white"/>
        </w:rPr>
        <w:t>the assumption and archetype of the ‘purist’</w:t>
      </w:r>
      <w:r w:rsidR="000A4FD6">
        <w:rPr>
          <w:highlight w:val="white"/>
        </w:rPr>
        <w:t xml:space="preserve"> idea</w:t>
      </w:r>
      <w:r w:rsidR="00F10984">
        <w:rPr>
          <w:highlight w:val="white"/>
        </w:rPr>
        <w:t>l</w:t>
      </w:r>
      <w:r w:rsidR="000A4FD6">
        <w:rPr>
          <w:highlight w:val="white"/>
        </w:rPr>
        <w:t xml:space="preserve"> wom</w:t>
      </w:r>
      <w:r w:rsidR="00F10984">
        <w:rPr>
          <w:highlight w:val="white"/>
        </w:rPr>
        <w:t>a</w:t>
      </w:r>
      <w:r w:rsidR="000A4FD6">
        <w:rPr>
          <w:highlight w:val="white"/>
        </w:rPr>
        <w:t xml:space="preserve">n </w:t>
      </w:r>
      <w:r w:rsidR="00F10984">
        <w:rPr>
          <w:highlight w:val="white"/>
        </w:rPr>
        <w:t xml:space="preserve">who will take </w:t>
      </w:r>
      <w:r w:rsidR="00C66395" w:rsidRPr="00C66395">
        <w:rPr>
          <w:highlight w:val="white"/>
        </w:rPr>
        <w:t xml:space="preserve">responsibility </w:t>
      </w:r>
      <w:r w:rsidR="00F10984">
        <w:rPr>
          <w:highlight w:val="white"/>
        </w:rPr>
        <w:t>for</w:t>
      </w:r>
      <w:r w:rsidR="000A4FD6">
        <w:rPr>
          <w:highlight w:val="white"/>
        </w:rPr>
        <w:t xml:space="preserve"> ensuring other women’s protection</w:t>
      </w:r>
      <w:r w:rsidR="00016748">
        <w:rPr>
          <w:highlight w:val="white"/>
        </w:rPr>
        <w:t>, devoid of corruption herself</w:t>
      </w:r>
      <w:r w:rsidR="000A4FD6">
        <w:rPr>
          <w:highlight w:val="white"/>
        </w:rPr>
        <w:t>.</w:t>
      </w:r>
      <w:r w:rsidR="00F10984" w:rsidRPr="00F10984">
        <w:rPr>
          <w:highlight w:val="white"/>
        </w:rPr>
        <w:t xml:space="preserve"> </w:t>
      </w:r>
    </w:p>
    <w:p w14:paraId="015CFD36" w14:textId="56D89AA7" w:rsidR="00F10984" w:rsidRDefault="00C66395" w:rsidP="00C66395">
      <w:pPr>
        <w:spacing w:line="360" w:lineRule="auto"/>
        <w:ind w:firstLine="720"/>
        <w:jc w:val="both"/>
        <w:rPr>
          <w:highlight w:val="white"/>
        </w:rPr>
      </w:pPr>
      <w:r w:rsidRPr="00C66395">
        <w:rPr>
          <w:highlight w:val="white"/>
        </w:rPr>
        <w:t>A</w:t>
      </w:r>
      <w:r w:rsidR="00016748">
        <w:rPr>
          <w:highlight w:val="white"/>
        </w:rPr>
        <w:t>n</w:t>
      </w:r>
      <w:r w:rsidRPr="00C66395">
        <w:rPr>
          <w:highlight w:val="white"/>
        </w:rPr>
        <w:t xml:space="preserve"> </w:t>
      </w:r>
      <w:r w:rsidR="004C4A47">
        <w:rPr>
          <w:highlight w:val="white"/>
        </w:rPr>
        <w:t>additional</w:t>
      </w:r>
      <w:r w:rsidRPr="00C66395">
        <w:rPr>
          <w:highlight w:val="white"/>
        </w:rPr>
        <w:t xml:space="preserve"> assumption underlines these provisions, namely that the women providing that protection, whether in policing or peacekeeping, will not themselves need protection. Per the argument underlying this article, and as has been evidenced elsewhere, women in leadership roles in policing</w:t>
      </w:r>
      <w:r w:rsidR="005259A6">
        <w:rPr>
          <w:rStyle w:val="FootnoteReference"/>
          <w:highlight w:val="white"/>
        </w:rPr>
        <w:footnoteReference w:id="96"/>
      </w:r>
      <w:r w:rsidRPr="00C66395">
        <w:rPr>
          <w:highlight w:val="white"/>
        </w:rPr>
        <w:t xml:space="preserve"> and peacekeep</w:t>
      </w:r>
      <w:r w:rsidR="00B4730B">
        <w:rPr>
          <w:highlight w:val="white"/>
        </w:rPr>
        <w:t>ing</w:t>
      </w:r>
      <w:r w:rsidR="005259A6">
        <w:rPr>
          <w:rStyle w:val="FootnoteReference"/>
          <w:highlight w:val="white"/>
        </w:rPr>
        <w:footnoteReference w:id="97"/>
      </w:r>
      <w:r w:rsidR="005259A6">
        <w:rPr>
          <w:highlight w:val="white"/>
        </w:rPr>
        <w:t xml:space="preserve"> </w:t>
      </w:r>
      <w:r w:rsidRPr="00C66395">
        <w:rPr>
          <w:highlight w:val="white"/>
        </w:rPr>
        <w:t>are subject to intimidation, threats and sexual abuse themselves. The</w:t>
      </w:r>
      <w:r w:rsidR="00315A40">
        <w:rPr>
          <w:highlight w:val="white"/>
        </w:rPr>
        <w:t>ir experiences of risk, despite the roles</w:t>
      </w:r>
      <w:r w:rsidRPr="00C66395">
        <w:rPr>
          <w:highlight w:val="white"/>
        </w:rPr>
        <w:t xml:space="preserve"> they occupy in peace and security activity exemplify the need for </w:t>
      </w:r>
      <w:r w:rsidR="00F10984">
        <w:rPr>
          <w:highlight w:val="white"/>
        </w:rPr>
        <w:t xml:space="preserve">a </w:t>
      </w:r>
      <w:r w:rsidRPr="00C66395">
        <w:rPr>
          <w:highlight w:val="white"/>
        </w:rPr>
        <w:t xml:space="preserve">broader </w:t>
      </w:r>
      <w:r w:rsidR="00B4730B">
        <w:rPr>
          <w:highlight w:val="white"/>
        </w:rPr>
        <w:t xml:space="preserve">policy </w:t>
      </w:r>
      <w:r w:rsidRPr="00C66395">
        <w:rPr>
          <w:highlight w:val="white"/>
        </w:rPr>
        <w:t>framing of ‘protection’</w:t>
      </w:r>
      <w:r w:rsidR="00F10984">
        <w:rPr>
          <w:highlight w:val="white"/>
        </w:rPr>
        <w:t xml:space="preserve">. </w:t>
      </w:r>
      <w:r w:rsidR="00276C24">
        <w:rPr>
          <w:highlight w:val="white"/>
        </w:rPr>
        <w:t>Further, t</w:t>
      </w:r>
      <w:r w:rsidR="00F3087D">
        <w:rPr>
          <w:highlight w:val="white"/>
        </w:rPr>
        <w:t>h</w:t>
      </w:r>
      <w:r w:rsidR="00F3087D" w:rsidRPr="00C66395">
        <w:rPr>
          <w:highlight w:val="white"/>
        </w:rPr>
        <w:t xml:space="preserve">e framing of </w:t>
      </w:r>
      <w:r w:rsidR="00F3087D">
        <w:rPr>
          <w:highlight w:val="white"/>
        </w:rPr>
        <w:t>‘</w:t>
      </w:r>
      <w:r w:rsidR="00F3087D" w:rsidRPr="00C66395">
        <w:rPr>
          <w:highlight w:val="white"/>
        </w:rPr>
        <w:t>sexual exploitation and abuse</w:t>
      </w:r>
      <w:r w:rsidR="00F3087D">
        <w:rPr>
          <w:highlight w:val="white"/>
        </w:rPr>
        <w:t>’</w:t>
      </w:r>
      <w:r w:rsidR="00F3087D" w:rsidRPr="00C66395">
        <w:rPr>
          <w:highlight w:val="white"/>
        </w:rPr>
        <w:t xml:space="preserve"> </w:t>
      </w:r>
      <w:r w:rsidR="00F3087D">
        <w:rPr>
          <w:highlight w:val="white"/>
        </w:rPr>
        <w:t>as</w:t>
      </w:r>
      <w:r w:rsidR="00F3087D" w:rsidRPr="00C66395">
        <w:rPr>
          <w:highlight w:val="white"/>
        </w:rPr>
        <w:t xml:space="preserve"> an issue of personnel conduct positions responsibility for it as a separate human resource issue</w:t>
      </w:r>
      <w:r w:rsidR="00315A40">
        <w:rPr>
          <w:highlight w:val="white"/>
        </w:rPr>
        <w:t>,</w:t>
      </w:r>
      <w:r w:rsidR="00F3087D" w:rsidRPr="00C66395">
        <w:rPr>
          <w:highlight w:val="white"/>
        </w:rPr>
        <w:t xml:space="preserve"> rather than a protection or human rights issue</w:t>
      </w:r>
      <w:r w:rsidR="00F3087D">
        <w:rPr>
          <w:highlight w:val="white"/>
        </w:rPr>
        <w:t xml:space="preserve">, removing it from the remit of ‘protection’ under the </w:t>
      </w:r>
      <w:r w:rsidR="00315A40">
        <w:rPr>
          <w:highlight w:val="white"/>
        </w:rPr>
        <w:t xml:space="preserve">WPS </w:t>
      </w:r>
      <w:r w:rsidR="00F3087D">
        <w:rPr>
          <w:highlight w:val="white"/>
        </w:rPr>
        <w:t>agenda</w:t>
      </w:r>
      <w:r w:rsidR="00F3087D" w:rsidRPr="00C66395">
        <w:rPr>
          <w:highlight w:val="white"/>
        </w:rPr>
        <w:t>.</w:t>
      </w:r>
      <w:r w:rsidR="00F3087D">
        <w:rPr>
          <w:rStyle w:val="FootnoteReference"/>
          <w:highlight w:val="white"/>
        </w:rPr>
        <w:footnoteReference w:id="98"/>
      </w:r>
      <w:r w:rsidR="00123FC2">
        <w:rPr>
          <w:highlight w:val="white"/>
        </w:rPr>
        <w:t xml:space="preserve"> </w:t>
      </w:r>
      <w:r w:rsidR="005018B7">
        <w:rPr>
          <w:highlight w:val="white"/>
        </w:rPr>
        <w:t>F</w:t>
      </w:r>
      <w:r w:rsidR="00123FC2">
        <w:rPr>
          <w:highlight w:val="white"/>
        </w:rPr>
        <w:t xml:space="preserve">uture </w:t>
      </w:r>
      <w:r w:rsidR="005018B7">
        <w:rPr>
          <w:highlight w:val="white"/>
        </w:rPr>
        <w:t xml:space="preserve">engagement </w:t>
      </w:r>
      <w:r w:rsidR="00A51B50">
        <w:rPr>
          <w:highlight w:val="white"/>
        </w:rPr>
        <w:t>on a</w:t>
      </w:r>
      <w:r w:rsidR="005018B7">
        <w:rPr>
          <w:highlight w:val="white"/>
        </w:rPr>
        <w:t xml:space="preserve"> participation-protection nexus</w:t>
      </w:r>
      <w:r w:rsidR="00F10984">
        <w:rPr>
          <w:highlight w:val="white"/>
        </w:rPr>
        <w:t xml:space="preserve"> </w:t>
      </w:r>
      <w:r w:rsidR="00A51B50">
        <w:rPr>
          <w:highlight w:val="white"/>
        </w:rPr>
        <w:t>should</w:t>
      </w:r>
      <w:r w:rsidR="00F10984">
        <w:rPr>
          <w:highlight w:val="white"/>
        </w:rPr>
        <w:t xml:space="preserve"> advance a much more substantive </w:t>
      </w:r>
      <w:r w:rsidR="00123FC2">
        <w:rPr>
          <w:highlight w:val="white"/>
        </w:rPr>
        <w:t>approach</w:t>
      </w:r>
      <w:r w:rsidR="00F10984">
        <w:rPr>
          <w:highlight w:val="white"/>
        </w:rPr>
        <w:t xml:space="preserve"> that recognises the full range of protection risks related to participation</w:t>
      </w:r>
      <w:r w:rsidR="00A51B50">
        <w:rPr>
          <w:highlight w:val="white"/>
        </w:rPr>
        <w:t xml:space="preserve">. This </w:t>
      </w:r>
      <w:r w:rsidR="00123FC2">
        <w:rPr>
          <w:highlight w:val="white"/>
        </w:rPr>
        <w:t>includ</w:t>
      </w:r>
      <w:r w:rsidR="00A51B50">
        <w:rPr>
          <w:highlight w:val="white"/>
        </w:rPr>
        <w:t xml:space="preserve">es personnel </w:t>
      </w:r>
      <w:r w:rsidR="00123FC2">
        <w:rPr>
          <w:highlight w:val="white"/>
        </w:rPr>
        <w:t>within the UN system itself</w:t>
      </w:r>
      <w:r w:rsidR="005018B7">
        <w:rPr>
          <w:highlight w:val="white"/>
        </w:rPr>
        <w:t xml:space="preserve">, and </w:t>
      </w:r>
      <w:r w:rsidR="00A51B50">
        <w:rPr>
          <w:highlight w:val="white"/>
        </w:rPr>
        <w:t>ultimately avoid</w:t>
      </w:r>
      <w:r w:rsidR="00853B43">
        <w:rPr>
          <w:highlight w:val="white"/>
        </w:rPr>
        <w:t>ing</w:t>
      </w:r>
      <w:r w:rsidR="005018B7">
        <w:rPr>
          <w:highlight w:val="white"/>
        </w:rPr>
        <w:t xml:space="preserve"> </w:t>
      </w:r>
      <w:r w:rsidR="00A51B50">
        <w:rPr>
          <w:highlight w:val="white"/>
        </w:rPr>
        <w:t>putting</w:t>
      </w:r>
      <w:r w:rsidR="005018B7">
        <w:rPr>
          <w:highlight w:val="white"/>
        </w:rPr>
        <w:t xml:space="preserve"> women </w:t>
      </w:r>
      <w:r w:rsidR="00A51B50">
        <w:rPr>
          <w:highlight w:val="white"/>
        </w:rPr>
        <w:t>at further</w:t>
      </w:r>
      <w:r w:rsidR="005018B7">
        <w:rPr>
          <w:highlight w:val="white"/>
        </w:rPr>
        <w:t xml:space="preserve"> risk </w:t>
      </w:r>
      <w:r w:rsidR="00A51B50">
        <w:rPr>
          <w:highlight w:val="white"/>
        </w:rPr>
        <w:t>by attributing them responsibility for their and other women’s protection.</w:t>
      </w:r>
    </w:p>
    <w:p w14:paraId="3D76208B" w14:textId="77777777" w:rsidR="00C66395" w:rsidRPr="00C66395" w:rsidRDefault="00C66395" w:rsidP="00F3087D">
      <w:pPr>
        <w:spacing w:line="360" w:lineRule="auto"/>
        <w:jc w:val="both"/>
        <w:rPr>
          <w:highlight w:val="white"/>
        </w:rPr>
      </w:pPr>
      <w:r w:rsidRPr="00C66395">
        <w:rPr>
          <w:highlight w:val="white"/>
        </w:rPr>
        <w:t> </w:t>
      </w:r>
    </w:p>
    <w:p w14:paraId="77CB5A05" w14:textId="00936A06" w:rsidR="00C66395" w:rsidRPr="00B26F07" w:rsidRDefault="00C66395" w:rsidP="00B26F07">
      <w:pPr>
        <w:pStyle w:val="Heading3"/>
        <w:numPr>
          <w:ilvl w:val="0"/>
          <w:numId w:val="19"/>
        </w:numPr>
        <w:rPr>
          <w:highlight w:val="white"/>
        </w:rPr>
      </w:pPr>
      <w:r w:rsidRPr="00C66395">
        <w:rPr>
          <w:highlight w:val="white"/>
        </w:rPr>
        <w:t xml:space="preserve">A Clear Inter-Relationship: </w:t>
      </w:r>
      <w:r w:rsidR="00FB761F">
        <w:rPr>
          <w:highlight w:val="white"/>
        </w:rPr>
        <w:t xml:space="preserve">                                                                                           </w:t>
      </w:r>
      <w:r w:rsidRPr="00B26F07">
        <w:rPr>
          <w:highlight w:val="white"/>
        </w:rPr>
        <w:t>Protection Related Specifically to Women’s Participation and Leadership.</w:t>
      </w:r>
    </w:p>
    <w:p w14:paraId="4F4976BD" w14:textId="77777777" w:rsidR="00C66395" w:rsidRPr="00C66395" w:rsidRDefault="00C66395" w:rsidP="00C66395">
      <w:pPr>
        <w:spacing w:line="360" w:lineRule="auto"/>
        <w:ind w:firstLine="720"/>
        <w:jc w:val="both"/>
        <w:rPr>
          <w:highlight w:val="white"/>
        </w:rPr>
      </w:pPr>
      <w:r w:rsidRPr="00C66395">
        <w:rPr>
          <w:highlight w:val="white"/>
        </w:rPr>
        <w:t> </w:t>
      </w:r>
    </w:p>
    <w:p w14:paraId="505D137D" w14:textId="3463F02A" w:rsidR="00C66395" w:rsidRPr="00C66395" w:rsidRDefault="00C66395" w:rsidP="00C66395">
      <w:pPr>
        <w:spacing w:line="360" w:lineRule="auto"/>
        <w:ind w:firstLine="720"/>
        <w:jc w:val="both"/>
        <w:rPr>
          <w:highlight w:val="white"/>
        </w:rPr>
      </w:pPr>
      <w:r w:rsidRPr="00C66395">
        <w:rPr>
          <w:highlight w:val="white"/>
        </w:rPr>
        <w:lastRenderedPageBreak/>
        <w:t xml:space="preserve">The textual analysis evidenced some early engagement in the WPS resolutions </w:t>
      </w:r>
      <w:r w:rsidR="00113A00">
        <w:rPr>
          <w:highlight w:val="white"/>
        </w:rPr>
        <w:t>with</w:t>
      </w:r>
      <w:r w:rsidRPr="00C66395">
        <w:rPr>
          <w:highlight w:val="white"/>
        </w:rPr>
        <w:t xml:space="preserve"> the interrelationship between the participation and protection pillars. </w:t>
      </w:r>
      <w:r w:rsidR="00113A00">
        <w:rPr>
          <w:highlight w:val="white"/>
        </w:rPr>
        <w:t>A</w:t>
      </w:r>
      <w:r w:rsidRPr="00C66395">
        <w:rPr>
          <w:highlight w:val="white"/>
        </w:rPr>
        <w:t xml:space="preserve">ttempts </w:t>
      </w:r>
      <w:r w:rsidR="00113A00">
        <w:rPr>
          <w:highlight w:val="white"/>
        </w:rPr>
        <w:t xml:space="preserve">at </w:t>
      </w:r>
      <w:r w:rsidRPr="00C66395">
        <w:rPr>
          <w:highlight w:val="white"/>
        </w:rPr>
        <w:t>address</w:t>
      </w:r>
      <w:r w:rsidR="00113A00">
        <w:rPr>
          <w:highlight w:val="white"/>
        </w:rPr>
        <w:t>ing</w:t>
      </w:r>
      <w:r w:rsidRPr="00C66395">
        <w:rPr>
          <w:highlight w:val="white"/>
        </w:rPr>
        <w:t xml:space="preserve"> this inter-relationship </w:t>
      </w:r>
      <w:r w:rsidR="00113A00">
        <w:rPr>
          <w:highlight w:val="white"/>
        </w:rPr>
        <w:t>is evident in</w:t>
      </w:r>
      <w:r w:rsidRPr="00C66395">
        <w:rPr>
          <w:highlight w:val="white"/>
        </w:rPr>
        <w:t xml:space="preserve"> the more recently adopted resolutions, perhaps indicative of a response to emerging evidence and trends across the human rights regime of the UN system.</w:t>
      </w:r>
      <w:r w:rsidR="00BF1128">
        <w:rPr>
          <w:rStyle w:val="FootnoteReference"/>
          <w:highlight w:val="white"/>
        </w:rPr>
        <w:footnoteReference w:id="99"/>
      </w:r>
      <w:r w:rsidRPr="00C66395">
        <w:rPr>
          <w:highlight w:val="white"/>
        </w:rPr>
        <w:t xml:space="preserve"> Language and provisions in the resolutions address the relationship between participation and protection in a varied yet constructive fashion in two ways: both implicitly and explicitly. </w:t>
      </w:r>
    </w:p>
    <w:p w14:paraId="1DE0ABC8" w14:textId="2564936B" w:rsidR="00F21183" w:rsidRPr="00C66395" w:rsidRDefault="00C66395" w:rsidP="00FE4370">
      <w:pPr>
        <w:spacing w:line="360" w:lineRule="auto"/>
        <w:ind w:firstLine="720"/>
        <w:jc w:val="both"/>
        <w:rPr>
          <w:highlight w:val="white"/>
        </w:rPr>
      </w:pPr>
      <w:r w:rsidRPr="00C66395">
        <w:rPr>
          <w:highlight w:val="white"/>
        </w:rPr>
        <w:t xml:space="preserve">Participation and protection appear together in language that represents </w:t>
      </w:r>
      <w:r w:rsidRPr="00C66395">
        <w:rPr>
          <w:i/>
          <w:iCs/>
          <w:highlight w:val="white"/>
        </w:rPr>
        <w:t>a potential relationship between the two pillars in an implicit sense</w:t>
      </w:r>
      <w:r w:rsidRPr="00C66395">
        <w:rPr>
          <w:highlight w:val="white"/>
        </w:rPr>
        <w:t xml:space="preserve">. </w:t>
      </w:r>
      <w:r w:rsidR="00414A09">
        <w:rPr>
          <w:highlight w:val="white"/>
        </w:rPr>
        <w:t>By implicit, we mean that t</w:t>
      </w:r>
      <w:r w:rsidRPr="00C66395">
        <w:rPr>
          <w:highlight w:val="white"/>
        </w:rPr>
        <w:t xml:space="preserve">he language, and the appearance of participation and protection concerns </w:t>
      </w:r>
      <w:r w:rsidRPr="00414A09">
        <w:rPr>
          <w:i/>
          <w:iCs/>
          <w:highlight w:val="white"/>
        </w:rPr>
        <w:t xml:space="preserve">within the same provision and </w:t>
      </w:r>
      <w:r w:rsidR="00F21183" w:rsidRPr="00414A09">
        <w:rPr>
          <w:i/>
          <w:iCs/>
          <w:highlight w:val="white"/>
        </w:rPr>
        <w:t>language</w:t>
      </w:r>
      <w:r w:rsidRPr="00C66395">
        <w:rPr>
          <w:highlight w:val="white"/>
        </w:rPr>
        <w:t xml:space="preserve">, could be </w:t>
      </w:r>
      <w:r w:rsidRPr="00947C5A">
        <w:rPr>
          <w:i/>
          <w:iCs/>
          <w:highlight w:val="white"/>
        </w:rPr>
        <w:t>interpreted</w:t>
      </w:r>
      <w:r w:rsidRPr="00C66395">
        <w:rPr>
          <w:highlight w:val="white"/>
        </w:rPr>
        <w:t xml:space="preserve"> as pointing to </w:t>
      </w:r>
      <w:r w:rsidR="00414A09">
        <w:rPr>
          <w:highlight w:val="white"/>
        </w:rPr>
        <w:t>a</w:t>
      </w:r>
      <w:r w:rsidRPr="00C66395">
        <w:rPr>
          <w:highlight w:val="white"/>
        </w:rPr>
        <w:t xml:space="preserve"> link between women’s safety and their participation. For example, UNSCR 1888 links women’s participation in peacebuilding with measures to reduce sexual violence, recognising to some degree, that enduring CRSV is problematic from the perspective of women’s ability to contribute to peacebuilding</w:t>
      </w:r>
      <w:r w:rsidR="00F21183">
        <w:rPr>
          <w:highlight w:val="white"/>
        </w:rPr>
        <w:t>. It does so for example by</w:t>
      </w:r>
      <w:r w:rsidRPr="00C66395">
        <w:rPr>
          <w:highlight w:val="white"/>
        </w:rPr>
        <w:t xml:space="preserve"> </w:t>
      </w:r>
      <w:r w:rsidR="00947C5A">
        <w:rPr>
          <w:highlight w:val="white"/>
        </w:rPr>
        <w:t>‘</w:t>
      </w:r>
      <w:r w:rsidRPr="00C66395">
        <w:rPr>
          <w:highlight w:val="white"/>
        </w:rPr>
        <w:t>noting the important role of women in rebuilding society, and urging the Peacebuilding Commission to encourage all parties in the countries on its agenda to incorporate and implement measures to reduce sexual violence in post-conflict strategies</w:t>
      </w:r>
      <w:r w:rsidR="00FE4370">
        <w:rPr>
          <w:highlight w:val="white"/>
        </w:rPr>
        <w:t>’.</w:t>
      </w:r>
      <w:r w:rsidR="00BF1128">
        <w:rPr>
          <w:rStyle w:val="FootnoteReference"/>
          <w:highlight w:val="white"/>
        </w:rPr>
        <w:footnoteReference w:id="100"/>
      </w:r>
    </w:p>
    <w:p w14:paraId="73255D0C" w14:textId="0BA7860A" w:rsidR="00BF1128" w:rsidRDefault="00C66395" w:rsidP="00C66395">
      <w:pPr>
        <w:spacing w:line="360" w:lineRule="auto"/>
        <w:ind w:firstLine="720"/>
        <w:jc w:val="both"/>
        <w:rPr>
          <w:highlight w:val="white"/>
        </w:rPr>
      </w:pPr>
      <w:r w:rsidRPr="00C66395">
        <w:rPr>
          <w:highlight w:val="white"/>
        </w:rPr>
        <w:t>Going a step further, there are provisions</w:t>
      </w:r>
      <w:r w:rsidR="007374F6">
        <w:rPr>
          <w:highlight w:val="white"/>
        </w:rPr>
        <w:t xml:space="preserve"> in the later resolutions</w:t>
      </w:r>
      <w:r w:rsidRPr="00C66395">
        <w:rPr>
          <w:highlight w:val="white"/>
        </w:rPr>
        <w:t xml:space="preserve">, such as those in UNSCR 2122 </w:t>
      </w:r>
      <w:r w:rsidR="007374F6">
        <w:rPr>
          <w:highlight w:val="white"/>
        </w:rPr>
        <w:t>where the</w:t>
      </w:r>
      <w:r w:rsidRPr="00C66395">
        <w:rPr>
          <w:highlight w:val="white"/>
        </w:rPr>
        <w:t xml:space="preserve"> UNSC </w:t>
      </w:r>
      <w:r w:rsidR="00BF1128">
        <w:rPr>
          <w:highlight w:val="white"/>
        </w:rPr>
        <w:t>‘</w:t>
      </w:r>
      <w:r w:rsidRPr="00C66395">
        <w:rPr>
          <w:highlight w:val="white"/>
        </w:rPr>
        <w:t xml:space="preserve">expresses its intention to include provisions to facilitate women’s </w:t>
      </w:r>
      <w:r w:rsidRPr="00C66395">
        <w:rPr>
          <w:i/>
          <w:iCs/>
          <w:highlight w:val="white"/>
        </w:rPr>
        <w:t>full participation and protection in</w:t>
      </w:r>
      <w:r w:rsidRPr="00C66395">
        <w:rPr>
          <w:highlight w:val="white"/>
        </w:rPr>
        <w:t xml:space="preserve"> election preparation and political processes, disarmament, demobilization and reintegration programs, security sector and judicial reforms</w:t>
      </w:r>
      <w:r w:rsidR="00BF1128">
        <w:rPr>
          <w:highlight w:val="white"/>
        </w:rPr>
        <w:t>’</w:t>
      </w:r>
      <w:r w:rsidR="00BF1128">
        <w:rPr>
          <w:rStyle w:val="FootnoteReference"/>
          <w:highlight w:val="white"/>
        </w:rPr>
        <w:footnoteReference w:id="101"/>
      </w:r>
      <w:r w:rsidR="00947C5A">
        <w:rPr>
          <w:highlight w:val="white"/>
        </w:rPr>
        <w:t xml:space="preserve"> </w:t>
      </w:r>
      <w:r w:rsidRPr="00C66395">
        <w:rPr>
          <w:highlight w:val="white"/>
        </w:rPr>
        <w:t xml:space="preserve">and so on. Here, women’s </w:t>
      </w:r>
      <w:r w:rsidR="00BF1128">
        <w:rPr>
          <w:highlight w:val="white"/>
        </w:rPr>
        <w:t>‘</w:t>
      </w:r>
      <w:r w:rsidRPr="00C66395">
        <w:rPr>
          <w:highlight w:val="white"/>
        </w:rPr>
        <w:t>full participation and protection in</w:t>
      </w:r>
      <w:r w:rsidR="00BF1128">
        <w:rPr>
          <w:highlight w:val="white"/>
        </w:rPr>
        <w:t>’</w:t>
      </w:r>
      <w:r w:rsidRPr="00C66395">
        <w:rPr>
          <w:highlight w:val="white"/>
        </w:rPr>
        <w:t xml:space="preserve"> various peacebuilding mechanisms are presented together. The preamble to this resolution also lists the areas of deficit of relevance</w:t>
      </w:r>
      <w:r w:rsidR="007374F6">
        <w:rPr>
          <w:highlight w:val="white"/>
        </w:rPr>
        <w:t>,</w:t>
      </w:r>
      <w:r w:rsidRPr="00C66395">
        <w:rPr>
          <w:highlight w:val="white"/>
        </w:rPr>
        <w:t xml:space="preserve"> that sets out an implicit relationship between participation and protection rights, such as </w:t>
      </w:r>
    </w:p>
    <w:p w14:paraId="7EB8F5DF" w14:textId="77777777" w:rsidR="00BF1128" w:rsidRDefault="00BF1128" w:rsidP="00C66395">
      <w:pPr>
        <w:spacing w:line="360" w:lineRule="auto"/>
        <w:ind w:firstLine="720"/>
        <w:jc w:val="both"/>
        <w:rPr>
          <w:highlight w:val="white"/>
        </w:rPr>
      </w:pPr>
    </w:p>
    <w:p w14:paraId="364387D9" w14:textId="6B426076" w:rsidR="00BF1128" w:rsidRDefault="00C66395" w:rsidP="00BF1128">
      <w:pPr>
        <w:spacing w:line="360" w:lineRule="auto"/>
        <w:ind w:left="720"/>
        <w:jc w:val="both"/>
        <w:rPr>
          <w:highlight w:val="white"/>
        </w:rPr>
      </w:pPr>
      <w:r w:rsidRPr="00C66395">
        <w:rPr>
          <w:highlight w:val="white"/>
        </w:rPr>
        <w:t xml:space="preserve">protection from human rights abuses and violations; opportunities for women to exercise leadership; resources provided to address their needs and which will help them exercise their rights; and the capacities and commitment of all actors involved in the implementation </w:t>
      </w:r>
      <w:r w:rsidRPr="00C66395">
        <w:rPr>
          <w:highlight w:val="white"/>
        </w:rPr>
        <w:lastRenderedPageBreak/>
        <w:t>of resolution 1325 and subsequent resolutions to advance women’s participation and protection</w:t>
      </w:r>
      <w:r w:rsidR="00BF1128">
        <w:rPr>
          <w:highlight w:val="white"/>
        </w:rPr>
        <w:t>..</w:t>
      </w:r>
      <w:r w:rsidRPr="00C66395">
        <w:rPr>
          <w:highlight w:val="white"/>
        </w:rPr>
        <w:t>.</w:t>
      </w:r>
      <w:r w:rsidR="00BF1128">
        <w:rPr>
          <w:rStyle w:val="FootnoteReference"/>
          <w:highlight w:val="white"/>
        </w:rPr>
        <w:footnoteReference w:id="102"/>
      </w:r>
      <w:r w:rsidRPr="00C66395">
        <w:rPr>
          <w:highlight w:val="white"/>
        </w:rPr>
        <w:t xml:space="preserve">  </w:t>
      </w:r>
    </w:p>
    <w:p w14:paraId="64F820A5" w14:textId="77777777" w:rsidR="00BF1128" w:rsidRDefault="00BF1128" w:rsidP="00BF1128">
      <w:pPr>
        <w:spacing w:line="360" w:lineRule="auto"/>
        <w:ind w:left="720"/>
        <w:jc w:val="both"/>
        <w:rPr>
          <w:highlight w:val="white"/>
        </w:rPr>
      </w:pPr>
    </w:p>
    <w:p w14:paraId="4A3362FB" w14:textId="77777777" w:rsidR="00BF1128" w:rsidRDefault="00C66395" w:rsidP="00BF1128">
      <w:pPr>
        <w:spacing w:line="360" w:lineRule="auto"/>
        <w:ind w:left="720"/>
        <w:jc w:val="both"/>
        <w:rPr>
          <w:i/>
          <w:iCs/>
          <w:highlight w:val="white"/>
        </w:rPr>
      </w:pPr>
      <w:r w:rsidRPr="00C66395">
        <w:rPr>
          <w:highlight w:val="white"/>
        </w:rPr>
        <w:t xml:space="preserve">In UNSCR 2493, there are linkages made in an implicit sense, again to enable women </w:t>
      </w:r>
      <w:r w:rsidRPr="00C66395">
        <w:rPr>
          <w:i/>
          <w:iCs/>
          <w:highlight w:val="white"/>
        </w:rPr>
        <w:t xml:space="preserve">to </w:t>
      </w:r>
    </w:p>
    <w:p w14:paraId="2623EE41" w14:textId="12F34DD2" w:rsidR="00C66395" w:rsidRPr="00C66395" w:rsidRDefault="00C66395" w:rsidP="00BF1128">
      <w:pPr>
        <w:spacing w:line="360" w:lineRule="auto"/>
        <w:jc w:val="both"/>
        <w:rPr>
          <w:highlight w:val="white"/>
        </w:rPr>
      </w:pPr>
      <w:r w:rsidRPr="00C66395">
        <w:rPr>
          <w:i/>
          <w:iCs/>
          <w:highlight w:val="white"/>
        </w:rPr>
        <w:t>participate in</w:t>
      </w:r>
      <w:r w:rsidRPr="00C66395">
        <w:rPr>
          <w:highlight w:val="white"/>
        </w:rPr>
        <w:t xml:space="preserve"> structures of peacebuilding, as follows: </w:t>
      </w:r>
      <w:r w:rsidR="00BF1128">
        <w:rPr>
          <w:highlight w:val="white"/>
        </w:rPr>
        <w:t>‘</w:t>
      </w:r>
      <w:r w:rsidRPr="00C66395">
        <w:rPr>
          <w:highlight w:val="white"/>
        </w:rPr>
        <w:t>the appointment of gender advisers and/or women protection advisers, provisions to facilitate women’s full and effective participation and protection in: the election preparation and political processes, disarmament, demobilization and reintegration programs</w:t>
      </w:r>
      <w:r w:rsidR="00BF1128">
        <w:rPr>
          <w:highlight w:val="white"/>
        </w:rPr>
        <w:t>’</w:t>
      </w:r>
      <w:r w:rsidRPr="00C66395">
        <w:rPr>
          <w:highlight w:val="white"/>
        </w:rPr>
        <w:t xml:space="preserve"> and so on.</w:t>
      </w:r>
      <w:r w:rsidR="00BF1128">
        <w:rPr>
          <w:rStyle w:val="FootnoteReference"/>
          <w:highlight w:val="white"/>
        </w:rPr>
        <w:footnoteReference w:id="103"/>
      </w:r>
      <w:r w:rsidRPr="00C66395">
        <w:rPr>
          <w:highlight w:val="white"/>
        </w:rPr>
        <w:t> </w:t>
      </w:r>
    </w:p>
    <w:p w14:paraId="4B78086F" w14:textId="02FF98D6" w:rsidR="00C66395" w:rsidRPr="00C66395" w:rsidRDefault="00C66395" w:rsidP="00C66395">
      <w:pPr>
        <w:spacing w:line="360" w:lineRule="auto"/>
        <w:ind w:firstLine="720"/>
        <w:jc w:val="both"/>
        <w:rPr>
          <w:highlight w:val="white"/>
        </w:rPr>
      </w:pPr>
      <w:r w:rsidRPr="00C66395">
        <w:rPr>
          <w:highlight w:val="white"/>
        </w:rPr>
        <w:t xml:space="preserve">The implicit relations described above were perhaps the basis for language that has appeared more recently and is </w:t>
      </w:r>
      <w:r w:rsidRPr="00C66395">
        <w:rPr>
          <w:i/>
          <w:iCs/>
          <w:highlight w:val="white"/>
        </w:rPr>
        <w:t>explicit,</w:t>
      </w:r>
      <w:r w:rsidRPr="00C66395">
        <w:rPr>
          <w:highlight w:val="white"/>
        </w:rPr>
        <w:t xml:space="preserve"> whereby </w:t>
      </w:r>
      <w:r w:rsidR="007374F6">
        <w:rPr>
          <w:highlight w:val="white"/>
        </w:rPr>
        <w:t xml:space="preserve">we mean that </w:t>
      </w:r>
      <w:r w:rsidRPr="00C66395">
        <w:rPr>
          <w:i/>
          <w:iCs/>
          <w:highlight w:val="white"/>
        </w:rPr>
        <w:t>a direct relationship between women’s participation and their protection</w:t>
      </w:r>
      <w:r w:rsidRPr="00C66395">
        <w:rPr>
          <w:highlight w:val="white"/>
        </w:rPr>
        <w:t xml:space="preserve"> is made clear and of concern to the WPS agenda. There are early references </w:t>
      </w:r>
      <w:r w:rsidR="00FE4370">
        <w:rPr>
          <w:highlight w:val="white"/>
        </w:rPr>
        <w:t xml:space="preserve">of this kind </w:t>
      </w:r>
      <w:r w:rsidRPr="00C66395">
        <w:rPr>
          <w:highlight w:val="white"/>
        </w:rPr>
        <w:t xml:space="preserve">to </w:t>
      </w:r>
      <w:r w:rsidR="00FE4370">
        <w:rPr>
          <w:highlight w:val="white"/>
        </w:rPr>
        <w:t xml:space="preserve">first </w:t>
      </w:r>
      <w:r w:rsidRPr="00C66395">
        <w:rPr>
          <w:highlight w:val="white"/>
        </w:rPr>
        <w:t>acknowledge. For example, the preambular paras of UNSCR 1820 notes that the UNSC is: </w:t>
      </w:r>
    </w:p>
    <w:p w14:paraId="41381B86" w14:textId="77777777" w:rsidR="00BF1128" w:rsidRDefault="00BF1128" w:rsidP="006D6706">
      <w:pPr>
        <w:spacing w:line="360" w:lineRule="auto"/>
        <w:ind w:firstLine="720"/>
        <w:jc w:val="both"/>
        <w:rPr>
          <w:highlight w:val="white"/>
        </w:rPr>
      </w:pPr>
    </w:p>
    <w:p w14:paraId="2155D2BF" w14:textId="7331EC88" w:rsidR="00BF1128" w:rsidRDefault="00C66395" w:rsidP="006D6706">
      <w:pPr>
        <w:spacing w:line="360" w:lineRule="auto"/>
        <w:ind w:firstLine="720"/>
        <w:jc w:val="both"/>
        <w:rPr>
          <w:highlight w:val="white"/>
        </w:rPr>
      </w:pPr>
      <w:r w:rsidRPr="00C66395">
        <w:rPr>
          <w:highlight w:val="white"/>
        </w:rPr>
        <w:t>Deeply concerned also about the persistent obstacles and challenges to women’s participation and full involvement in the prevention and resolution of conflicts as a result of violence, intimidation and discrimination, which erode women’s capacity and legitimacy to participate in post-conflict public life, and acknowledging the negative impact this has on durable peace, security and reconciliation, including post-conflict peacebuilding…</w:t>
      </w:r>
      <w:r w:rsidR="00BF1128">
        <w:rPr>
          <w:rStyle w:val="FootnoteReference"/>
          <w:highlight w:val="white"/>
        </w:rPr>
        <w:footnoteReference w:id="104"/>
      </w:r>
      <w:r w:rsidRPr="00C66395">
        <w:rPr>
          <w:highlight w:val="white"/>
        </w:rPr>
        <w:t> </w:t>
      </w:r>
    </w:p>
    <w:p w14:paraId="7F7E3245" w14:textId="77777777" w:rsidR="00BF1128" w:rsidRDefault="00C66395" w:rsidP="00BF1128">
      <w:pPr>
        <w:spacing w:line="360" w:lineRule="auto"/>
        <w:ind w:firstLine="720"/>
        <w:jc w:val="both"/>
        <w:rPr>
          <w:highlight w:val="white"/>
        </w:rPr>
      </w:pPr>
      <w:r w:rsidRPr="00C66395">
        <w:rPr>
          <w:highlight w:val="white"/>
        </w:rPr>
        <w:t> </w:t>
      </w:r>
    </w:p>
    <w:p w14:paraId="43AB2148" w14:textId="148E89C1" w:rsidR="00C66395" w:rsidRPr="00C66395" w:rsidRDefault="00C66395" w:rsidP="00BF1128">
      <w:pPr>
        <w:spacing w:line="360" w:lineRule="auto"/>
        <w:ind w:firstLine="720"/>
        <w:jc w:val="both"/>
        <w:rPr>
          <w:highlight w:val="white"/>
        </w:rPr>
      </w:pPr>
      <w:r w:rsidRPr="00C66395">
        <w:rPr>
          <w:highlight w:val="white"/>
        </w:rPr>
        <w:t xml:space="preserve">UNSCR 2122 also </w:t>
      </w:r>
      <w:r w:rsidR="00BF1128">
        <w:rPr>
          <w:highlight w:val="white"/>
        </w:rPr>
        <w:t>‘</w:t>
      </w:r>
      <w:r w:rsidRPr="00C66395">
        <w:rPr>
          <w:highlight w:val="white"/>
        </w:rPr>
        <w:t>stresse</w:t>
      </w:r>
      <w:r w:rsidR="007374F6">
        <w:rPr>
          <w:highlight w:val="white"/>
        </w:rPr>
        <w:t>s</w:t>
      </w:r>
      <w:r w:rsidR="00BF1128">
        <w:rPr>
          <w:highlight w:val="white"/>
        </w:rPr>
        <w:t>’</w:t>
      </w:r>
      <w:r w:rsidRPr="00C66395">
        <w:rPr>
          <w:highlight w:val="white"/>
        </w:rPr>
        <w:t xml:space="preserve"> that member states should </w:t>
      </w:r>
      <w:r w:rsidR="00BF1128">
        <w:rPr>
          <w:highlight w:val="white"/>
        </w:rPr>
        <w:t>‘</w:t>
      </w:r>
      <w:r w:rsidRPr="00C66395">
        <w:rPr>
          <w:highlight w:val="white"/>
        </w:rPr>
        <w:t xml:space="preserve">ensure women’s full and equal participation in all phases of electoral processes, noting that specific attention must be paid to women’s safety prior to, and during, </w:t>
      </w:r>
      <w:proofErr w:type="gramStart"/>
      <w:r w:rsidRPr="00C66395">
        <w:rPr>
          <w:highlight w:val="white"/>
        </w:rPr>
        <w:t>elections</w:t>
      </w:r>
      <w:r w:rsidR="00BF1128">
        <w:rPr>
          <w:highlight w:val="white"/>
        </w:rPr>
        <w:t>’</w:t>
      </w:r>
      <w:proofErr w:type="gramEnd"/>
      <w:r w:rsidRPr="00C66395">
        <w:rPr>
          <w:highlight w:val="white"/>
        </w:rPr>
        <w:t>.</w:t>
      </w:r>
      <w:r w:rsidR="00BF1128">
        <w:rPr>
          <w:rStyle w:val="FootnoteReference"/>
          <w:highlight w:val="white"/>
        </w:rPr>
        <w:footnoteReference w:id="105"/>
      </w:r>
    </w:p>
    <w:p w14:paraId="0B7616AB" w14:textId="4B273ED6" w:rsidR="00C66395" w:rsidRDefault="2FE8927B" w:rsidP="00093C4A">
      <w:pPr>
        <w:spacing w:line="360" w:lineRule="auto"/>
        <w:ind w:firstLine="720"/>
        <w:jc w:val="both"/>
        <w:rPr>
          <w:highlight w:val="white"/>
        </w:rPr>
      </w:pPr>
      <w:r w:rsidRPr="2FE8927B">
        <w:rPr>
          <w:highlight w:val="white"/>
        </w:rPr>
        <w:t xml:space="preserve">It is the two 2019 resolutions however that make clear that the UNSC recognises that there is an explicit relationship between promoting women’s participation and addressing protection-related risks. As noted above, UNSCR 2467 addresses the link between women’s participation and protection. It also notes the reverse, that women’s empowerment is critical to their protection, </w:t>
      </w:r>
      <w:r w:rsidRPr="2FE8927B">
        <w:rPr>
          <w:highlight w:val="white"/>
        </w:rPr>
        <w:lastRenderedPageBreak/>
        <w:t>perhaps threading through the earlier resolutions’ pronouncement on women’s participation in protection mechanisms as a means of protection: </w:t>
      </w:r>
    </w:p>
    <w:p w14:paraId="37785964" w14:textId="77777777" w:rsidR="00BF1128" w:rsidRPr="00C66395" w:rsidRDefault="00BF1128" w:rsidP="00093C4A">
      <w:pPr>
        <w:spacing w:line="360" w:lineRule="auto"/>
        <w:ind w:firstLine="720"/>
        <w:jc w:val="both"/>
        <w:rPr>
          <w:highlight w:val="white"/>
        </w:rPr>
      </w:pPr>
    </w:p>
    <w:p w14:paraId="3FD5D213" w14:textId="1AB02C42" w:rsidR="00C66395" w:rsidRDefault="00C66395" w:rsidP="00093C4A">
      <w:pPr>
        <w:spacing w:line="360" w:lineRule="auto"/>
        <w:ind w:firstLine="720"/>
        <w:jc w:val="both"/>
        <w:rPr>
          <w:highlight w:val="white"/>
        </w:rPr>
      </w:pPr>
      <w:r w:rsidRPr="00C66395">
        <w:rPr>
          <w:highlight w:val="white"/>
        </w:rPr>
        <w:t>Emphasizing that advancing gender equality and women’s political, social, and economic empowerment is critical to the prevention of and response to sexual violence in conflict and post-conflict situations, and that the safety and empowerment of women and girls is important for their meaningful participation in peace processes, preventing conflicts and rebuilding societies, and that therefore women’s protection and participation are inextricably linked and mutually-reinforcing as reflected by all previous resolutions on women, peace and security</w:t>
      </w:r>
      <w:r w:rsidR="00FE1CFE">
        <w:rPr>
          <w:highlight w:val="white"/>
        </w:rPr>
        <w:t>…</w:t>
      </w:r>
      <w:r w:rsidR="00BF1128">
        <w:rPr>
          <w:rStyle w:val="FootnoteReference"/>
          <w:highlight w:val="white"/>
        </w:rPr>
        <w:footnoteReference w:id="106"/>
      </w:r>
      <w:r w:rsidRPr="00C66395">
        <w:rPr>
          <w:highlight w:val="white"/>
        </w:rPr>
        <w:t> </w:t>
      </w:r>
    </w:p>
    <w:p w14:paraId="6252575F" w14:textId="77777777" w:rsidR="00BF1128" w:rsidRPr="00C66395" w:rsidRDefault="00BF1128" w:rsidP="00093C4A">
      <w:pPr>
        <w:spacing w:line="360" w:lineRule="auto"/>
        <w:ind w:firstLine="720"/>
        <w:jc w:val="both"/>
        <w:rPr>
          <w:highlight w:val="white"/>
        </w:rPr>
      </w:pPr>
    </w:p>
    <w:p w14:paraId="08E8F5ED" w14:textId="4C6B3F48" w:rsidR="00C66395" w:rsidRPr="00C66395" w:rsidRDefault="00C66395" w:rsidP="00C66395">
      <w:pPr>
        <w:spacing w:line="360" w:lineRule="auto"/>
        <w:ind w:firstLine="720"/>
        <w:jc w:val="both"/>
        <w:rPr>
          <w:highlight w:val="white"/>
        </w:rPr>
      </w:pPr>
      <w:r w:rsidRPr="00C66395">
        <w:rPr>
          <w:highlight w:val="white"/>
        </w:rPr>
        <w:t xml:space="preserve">It is notable that this significant statement is housed in a preambular paragraph. Often cited as the </w:t>
      </w:r>
      <w:r w:rsidR="00BF1128">
        <w:rPr>
          <w:highlight w:val="white"/>
        </w:rPr>
        <w:t>‘</w:t>
      </w:r>
      <w:r w:rsidRPr="00C66395">
        <w:rPr>
          <w:highlight w:val="white"/>
        </w:rPr>
        <w:t>dumping ground</w:t>
      </w:r>
      <w:r w:rsidR="00BF1128">
        <w:rPr>
          <w:highlight w:val="white"/>
        </w:rPr>
        <w:t>’</w:t>
      </w:r>
      <w:r w:rsidR="00BF1128">
        <w:rPr>
          <w:rStyle w:val="FootnoteReference"/>
          <w:highlight w:val="white"/>
        </w:rPr>
        <w:footnoteReference w:id="107"/>
      </w:r>
      <w:r w:rsidRPr="00C66395">
        <w:rPr>
          <w:highlight w:val="white"/>
        </w:rPr>
        <w:t xml:space="preserve"> for the provisions that states cannot agree on or do not want to fully commit themselves to, a shift from preambular to recognition of this </w:t>
      </w:r>
      <w:r w:rsidR="00BF1128">
        <w:rPr>
          <w:highlight w:val="white"/>
        </w:rPr>
        <w:t>‘</w:t>
      </w:r>
      <w:r w:rsidRPr="00C66395">
        <w:rPr>
          <w:highlight w:val="white"/>
        </w:rPr>
        <w:t>inextricably linked</w:t>
      </w:r>
      <w:r w:rsidR="00BF1128">
        <w:rPr>
          <w:highlight w:val="white"/>
        </w:rPr>
        <w:t>’</w:t>
      </w:r>
      <w:r w:rsidR="00BF1128">
        <w:rPr>
          <w:rStyle w:val="FootnoteReference"/>
          <w:highlight w:val="white"/>
        </w:rPr>
        <w:footnoteReference w:id="108"/>
      </w:r>
      <w:r w:rsidRPr="00C66395">
        <w:rPr>
          <w:highlight w:val="white"/>
        </w:rPr>
        <w:t xml:space="preserve"> relationship is needed in an operative provision</w:t>
      </w:r>
      <w:r w:rsidR="00DC79BB">
        <w:rPr>
          <w:highlight w:val="white"/>
        </w:rPr>
        <w:t xml:space="preserve"> in any future resolutions</w:t>
      </w:r>
      <w:r w:rsidRPr="00C66395">
        <w:rPr>
          <w:highlight w:val="white"/>
        </w:rPr>
        <w:t>. The need for protection of journalists and civil society is addressed in an operative provision in that resolution</w:t>
      </w:r>
      <w:r w:rsidR="007374F6">
        <w:rPr>
          <w:highlight w:val="white"/>
        </w:rPr>
        <w:t>.</w:t>
      </w:r>
      <w:r w:rsidR="00BF1128">
        <w:rPr>
          <w:rStyle w:val="FootnoteReference"/>
          <w:highlight w:val="white"/>
        </w:rPr>
        <w:footnoteReference w:id="109"/>
      </w:r>
      <w:r w:rsidRPr="00C66395">
        <w:rPr>
          <w:highlight w:val="white"/>
        </w:rPr>
        <w:t xml:space="preserve"> </w:t>
      </w:r>
      <w:r w:rsidR="007374F6">
        <w:rPr>
          <w:highlight w:val="white"/>
        </w:rPr>
        <w:t>A</w:t>
      </w:r>
      <w:r w:rsidRPr="00C66395">
        <w:rPr>
          <w:highlight w:val="white"/>
        </w:rPr>
        <w:t xml:space="preserve"> further provision reiterates </w:t>
      </w:r>
      <w:r w:rsidR="007374F6">
        <w:rPr>
          <w:highlight w:val="white"/>
        </w:rPr>
        <w:t>that</w:t>
      </w:r>
      <w:r w:rsidRPr="00C66395">
        <w:rPr>
          <w:highlight w:val="white"/>
        </w:rPr>
        <w:t xml:space="preserve"> language to ensure </w:t>
      </w:r>
      <w:r w:rsidR="00BF1128">
        <w:rPr>
          <w:highlight w:val="white"/>
        </w:rPr>
        <w:t>‘</w:t>
      </w:r>
      <w:r w:rsidRPr="00C66395">
        <w:rPr>
          <w:highlight w:val="white"/>
        </w:rPr>
        <w:t>women’s full and effective participation and protection in</w:t>
      </w:r>
      <w:r w:rsidR="004F54AD">
        <w:rPr>
          <w:highlight w:val="white"/>
        </w:rPr>
        <w:t>’</w:t>
      </w:r>
      <w:r w:rsidRPr="00C66395">
        <w:rPr>
          <w:highlight w:val="white"/>
        </w:rPr>
        <w:t xml:space="preserve"> mechanisms </w:t>
      </w:r>
      <w:r w:rsidR="004F54AD">
        <w:rPr>
          <w:highlight w:val="white"/>
        </w:rPr>
        <w:t>such as</w:t>
      </w:r>
      <w:r w:rsidRPr="00C66395">
        <w:rPr>
          <w:highlight w:val="white"/>
        </w:rPr>
        <w:t xml:space="preserve"> elections and the security sector.</w:t>
      </w:r>
      <w:r w:rsidR="004F54AD">
        <w:rPr>
          <w:rStyle w:val="FootnoteReference"/>
          <w:highlight w:val="white"/>
        </w:rPr>
        <w:footnoteReference w:id="110"/>
      </w:r>
      <w:r w:rsidRPr="00C66395">
        <w:rPr>
          <w:highlight w:val="white"/>
        </w:rPr>
        <w:t>  Finally, UNSCR 2493 </w:t>
      </w:r>
    </w:p>
    <w:p w14:paraId="6C2F4276" w14:textId="77777777" w:rsidR="00C66395" w:rsidRPr="00C66395" w:rsidRDefault="00C66395" w:rsidP="00093C4A">
      <w:pPr>
        <w:spacing w:line="360" w:lineRule="auto"/>
        <w:jc w:val="both"/>
        <w:rPr>
          <w:highlight w:val="white"/>
        </w:rPr>
      </w:pPr>
      <w:r w:rsidRPr="00C66395">
        <w:rPr>
          <w:highlight w:val="white"/>
        </w:rPr>
        <w:t> </w:t>
      </w:r>
    </w:p>
    <w:p w14:paraId="6C15A000" w14:textId="76A2B48D" w:rsidR="00C66395" w:rsidRPr="00C66395" w:rsidRDefault="00C66395" w:rsidP="00C66395">
      <w:pPr>
        <w:spacing w:line="360" w:lineRule="auto"/>
        <w:ind w:firstLine="720"/>
        <w:jc w:val="both"/>
        <w:rPr>
          <w:highlight w:val="white"/>
        </w:rPr>
      </w:pPr>
      <w:r w:rsidRPr="00C66395">
        <w:rPr>
          <w:highlight w:val="white"/>
        </w:rPr>
        <w:t>encourages Member States to create safe and enabling environments for civil society, including formal and informal community women leaders, women peacebuilders, political actors, and those who protect and promote human rights, to carry out their work independently and without undue interference, including in situations of armed conflict, and to address threats, harassment, violence and hate speech against them…</w:t>
      </w:r>
      <w:r w:rsidR="00093C4A">
        <w:rPr>
          <w:highlight w:val="white"/>
        </w:rPr>
        <w:t>’</w:t>
      </w:r>
      <w:r w:rsidR="004F54AD">
        <w:rPr>
          <w:rStyle w:val="FootnoteReference"/>
          <w:highlight w:val="white"/>
        </w:rPr>
        <w:footnoteReference w:id="111"/>
      </w:r>
      <w:r w:rsidRPr="00C66395">
        <w:rPr>
          <w:highlight w:val="white"/>
        </w:rPr>
        <w:t>. </w:t>
      </w:r>
    </w:p>
    <w:p w14:paraId="14A81903" w14:textId="77777777" w:rsidR="00C66395" w:rsidRPr="00C66395" w:rsidRDefault="00C66395" w:rsidP="00C66395">
      <w:pPr>
        <w:spacing w:line="360" w:lineRule="auto"/>
        <w:ind w:firstLine="720"/>
        <w:jc w:val="both"/>
        <w:rPr>
          <w:highlight w:val="white"/>
        </w:rPr>
      </w:pPr>
      <w:r w:rsidRPr="00C66395">
        <w:rPr>
          <w:highlight w:val="white"/>
        </w:rPr>
        <w:t> </w:t>
      </w:r>
    </w:p>
    <w:p w14:paraId="1168CCA3" w14:textId="0C81736A" w:rsidR="00C66395" w:rsidRDefault="00C66395" w:rsidP="00F30885">
      <w:pPr>
        <w:spacing w:line="360" w:lineRule="auto"/>
        <w:ind w:firstLine="720"/>
        <w:jc w:val="both"/>
        <w:rPr>
          <w:highlight w:val="white"/>
        </w:rPr>
      </w:pPr>
      <w:r w:rsidRPr="00C66395">
        <w:rPr>
          <w:highlight w:val="white"/>
        </w:rPr>
        <w:t xml:space="preserve">These latter developments represent a welcome move towards acknowledging the critical risks and challenges that present for women in leadership roles across conflict and post-conflict contexts. This recognition has emerged as a more recent concern, despite twenty years of the WPS </w:t>
      </w:r>
      <w:r w:rsidRPr="00C66395">
        <w:rPr>
          <w:highlight w:val="white"/>
        </w:rPr>
        <w:lastRenderedPageBreak/>
        <w:t xml:space="preserve">agenda. </w:t>
      </w:r>
      <w:r w:rsidR="00200583">
        <w:rPr>
          <w:highlight w:val="white"/>
        </w:rPr>
        <w:t>As noted, t</w:t>
      </w:r>
      <w:r w:rsidRPr="00C66395">
        <w:rPr>
          <w:highlight w:val="white"/>
        </w:rPr>
        <w:t>here has been limited and nascent examination of the inter-relationship between the two predominant pillars of the WPS agenda</w:t>
      </w:r>
      <w:r w:rsidR="00D174F0">
        <w:rPr>
          <w:highlight w:val="white"/>
        </w:rPr>
        <w:t>. The effects of t</w:t>
      </w:r>
      <w:r w:rsidRPr="00C66395">
        <w:rPr>
          <w:highlight w:val="white"/>
        </w:rPr>
        <w:t xml:space="preserve">he limited normative progression of each pillar </w:t>
      </w:r>
      <w:proofErr w:type="gramStart"/>
      <w:r w:rsidRPr="00C66395">
        <w:rPr>
          <w:highlight w:val="white"/>
        </w:rPr>
        <w:t>has</w:t>
      </w:r>
      <w:proofErr w:type="gramEnd"/>
      <w:r w:rsidRPr="00C66395">
        <w:rPr>
          <w:highlight w:val="white"/>
        </w:rPr>
        <w:t xml:space="preserve"> also significantly impacted the potential inter-relationship between them. As a fulcrum of operational activity on women’s rights in conflict, there is arguably a case to be made </w:t>
      </w:r>
      <w:r w:rsidR="00975886">
        <w:rPr>
          <w:highlight w:val="white"/>
        </w:rPr>
        <w:t>that</w:t>
      </w:r>
      <w:r w:rsidRPr="00C66395">
        <w:rPr>
          <w:highlight w:val="white"/>
        </w:rPr>
        <w:t xml:space="preserve"> the UNSC</w:t>
      </w:r>
      <w:r w:rsidR="00975886">
        <w:rPr>
          <w:highlight w:val="white"/>
        </w:rPr>
        <w:t>,</w:t>
      </w:r>
      <w:r w:rsidRPr="00C66395">
        <w:rPr>
          <w:highlight w:val="white"/>
        </w:rPr>
        <w:t xml:space="preserve"> and implementing </w:t>
      </w:r>
      <w:r w:rsidR="00975886">
        <w:rPr>
          <w:highlight w:val="white"/>
        </w:rPr>
        <w:t xml:space="preserve">partners, </w:t>
      </w:r>
      <w:r w:rsidRPr="00C66395">
        <w:rPr>
          <w:highlight w:val="white"/>
        </w:rPr>
        <w:t>deepen engagement with how women’s inclusion, participation and leadership is directly affected by protection risks. Critical considerations for any movement forward in that regard is examined from here.</w:t>
      </w:r>
    </w:p>
    <w:p w14:paraId="2710E6B8" w14:textId="77777777" w:rsidR="00F30885" w:rsidRPr="00CC740A" w:rsidRDefault="00F30885" w:rsidP="00F30885">
      <w:pPr>
        <w:spacing w:line="360" w:lineRule="auto"/>
        <w:ind w:firstLine="720"/>
        <w:jc w:val="both"/>
        <w:rPr>
          <w:highlight w:val="white"/>
        </w:rPr>
      </w:pPr>
    </w:p>
    <w:p w14:paraId="154A84F1" w14:textId="1A5F2369" w:rsidR="00D26CFF" w:rsidRPr="0019005C" w:rsidRDefault="00B65B59" w:rsidP="00A26F3C">
      <w:pPr>
        <w:pStyle w:val="Heading1"/>
        <w:numPr>
          <w:ilvl w:val="0"/>
          <w:numId w:val="5"/>
        </w:numPr>
        <w:spacing w:line="480" w:lineRule="auto"/>
        <w:rPr>
          <w:szCs w:val="24"/>
        </w:rPr>
      </w:pPr>
      <w:r w:rsidRPr="00B65B59">
        <w:rPr>
          <w:szCs w:val="24"/>
        </w:rPr>
        <w:t>BRINGING TOGETHER PARTICIPATION AND PROTECTION: IMPLICATIONS FOR FUTURE CROSS-PILLAR SYNERGIES</w:t>
      </w:r>
    </w:p>
    <w:p w14:paraId="5D29DC83" w14:textId="5AF1EA23" w:rsidR="00870ED3" w:rsidRDefault="003641AA" w:rsidP="00870ED3">
      <w:pPr>
        <w:spacing w:line="360" w:lineRule="auto"/>
        <w:jc w:val="both"/>
      </w:pPr>
      <w:r w:rsidRPr="0019005C">
        <w:t xml:space="preserve">As the UNSC shows signs of addressing the </w:t>
      </w:r>
      <w:r>
        <w:t>‘</w:t>
      </w:r>
      <w:r w:rsidRPr="0019005C">
        <w:t>inextricably linked and mutually-reinforcing</w:t>
      </w:r>
      <w:r>
        <w:t>’</w:t>
      </w:r>
      <w:r>
        <w:rPr>
          <w:rStyle w:val="FootnoteReference"/>
        </w:rPr>
        <w:footnoteReference w:id="112"/>
      </w:r>
      <w:r>
        <w:t xml:space="preserve"> </w:t>
      </w:r>
      <w:r w:rsidRPr="0019005C">
        <w:t xml:space="preserve">relationship between participation and protection, a question arises as regards the definitional and conceptual basis on which that inter-relationship is to be advanced. </w:t>
      </w:r>
      <w:r w:rsidR="002D5564">
        <w:t>Would</w:t>
      </w:r>
      <w:r w:rsidRPr="0019005C">
        <w:t xml:space="preserve"> the bringing together of these two pillars simply represent a melding of the existing normative confines of each pillar? Or will it truly reflect an understanding of the common range, as well as context-specific </w:t>
      </w:r>
      <w:proofErr w:type="gramStart"/>
      <w:r w:rsidR="009D4BDA">
        <w:t xml:space="preserve">gendered  </w:t>
      </w:r>
      <w:r w:rsidRPr="0019005C">
        <w:t>protection</w:t>
      </w:r>
      <w:proofErr w:type="gramEnd"/>
      <w:r w:rsidRPr="0019005C">
        <w:t xml:space="preserve"> barriers  experienced by women in conflict and peacebuilding settings</w:t>
      </w:r>
      <w:r>
        <w:t xml:space="preserve"> (beyond CRSV)</w:t>
      </w:r>
      <w:r w:rsidRPr="0019005C">
        <w:t xml:space="preserve">? And </w:t>
      </w:r>
      <w:r w:rsidR="002D5564">
        <w:t>would</w:t>
      </w:r>
      <w:r w:rsidRPr="0019005C">
        <w:t xml:space="preserve"> it engage beyond a material acknowledgement of ‘women’s experiences’ of protection risks</w:t>
      </w:r>
      <w:r w:rsidR="009D4BDA">
        <w:t>,</w:t>
      </w:r>
      <w:r w:rsidRPr="0019005C">
        <w:t xml:space="preserve"> towards the complexities </w:t>
      </w:r>
      <w:r w:rsidR="009D4BDA">
        <w:t xml:space="preserve">that </w:t>
      </w:r>
      <w:r w:rsidRPr="0019005C">
        <w:t>underpin</w:t>
      </w:r>
      <w:r w:rsidR="009D4BDA">
        <w:t xml:space="preserve"> </w:t>
      </w:r>
      <w:r w:rsidRPr="0019005C">
        <w:t>the ways that gender mediates women’s lives as they ‘participate’</w:t>
      </w:r>
      <w:r>
        <w:t xml:space="preserve"> </w:t>
      </w:r>
      <w:r w:rsidRPr="0019005C">
        <w:t>in different conflict contexts?</w:t>
      </w:r>
      <w:r>
        <w:rPr>
          <w:rStyle w:val="FootnoteReference"/>
        </w:rPr>
        <w:footnoteReference w:id="113"/>
      </w:r>
    </w:p>
    <w:p w14:paraId="01AF062E" w14:textId="76395838" w:rsidR="00870ED3" w:rsidRPr="0019005C" w:rsidRDefault="00870ED3" w:rsidP="00F3780B">
      <w:pPr>
        <w:spacing w:line="360" w:lineRule="auto"/>
        <w:ind w:firstLine="720"/>
        <w:jc w:val="both"/>
      </w:pPr>
      <w:r>
        <w:t xml:space="preserve">On the basis of </w:t>
      </w:r>
      <w:r w:rsidRPr="0019005C">
        <w:t>the findings of the textual analysis</w:t>
      </w:r>
      <w:r>
        <w:t>,</w:t>
      </w:r>
      <w:r w:rsidRPr="0019005C">
        <w:t xml:space="preserve"> we offer critical observations </w:t>
      </w:r>
      <w:r>
        <w:t>in relation to the potential</w:t>
      </w:r>
      <w:r w:rsidRPr="0019005C">
        <w:t xml:space="preserve"> </w:t>
      </w:r>
      <w:r w:rsidR="009D4BDA">
        <w:t>that arises to</w:t>
      </w:r>
      <w:r w:rsidRPr="0019005C">
        <w:t xml:space="preserve"> advance synergies between participation and protection. Any future cross-pillar engagement risks sustaining the aforementioned </w:t>
      </w:r>
      <w:r>
        <w:t>‘</w:t>
      </w:r>
      <w:r w:rsidRPr="0019005C">
        <w:t>metanarratives</w:t>
      </w:r>
      <w:r>
        <w:t>’</w:t>
      </w:r>
      <w:r>
        <w:rPr>
          <w:rStyle w:val="FootnoteReference"/>
        </w:rPr>
        <w:footnoteReference w:id="114"/>
      </w:r>
      <w:r w:rsidRPr="0019005C">
        <w:t>,</w:t>
      </w:r>
      <w:r w:rsidRPr="0019005C">
        <w:rPr>
          <w:rStyle w:val="FootnoteReference"/>
        </w:rPr>
        <w:t xml:space="preserve"> </w:t>
      </w:r>
      <w:r w:rsidRPr="0019005C">
        <w:t xml:space="preserve">or indeed prompting new narratives that </w:t>
      </w:r>
      <w:r w:rsidR="009D4BDA">
        <w:t xml:space="preserve">are </w:t>
      </w:r>
      <w:r>
        <w:t>reductive</w:t>
      </w:r>
      <w:r w:rsidR="009D4BDA">
        <w:t>,</w:t>
      </w:r>
      <w:r w:rsidRPr="0019005C">
        <w:t xml:space="preserve"> </w:t>
      </w:r>
      <w:r w:rsidR="009D4BDA">
        <w:t>and</w:t>
      </w:r>
      <w:r w:rsidRPr="0019005C">
        <w:t xml:space="preserve"> that </w:t>
      </w:r>
      <w:r>
        <w:t xml:space="preserve">will </w:t>
      </w:r>
      <w:r w:rsidRPr="0019005C">
        <w:t xml:space="preserve">serve the UNSC itself, rather than </w:t>
      </w:r>
      <w:r>
        <w:t xml:space="preserve">addressing </w:t>
      </w:r>
      <w:r w:rsidRPr="0019005C">
        <w:t>the complexity of rights deficits in women’s lives. Our observations point to the risks that arise with applying a protection lens to participation. F</w:t>
      </w:r>
      <w:r w:rsidR="009A0839">
        <w:t>i</w:t>
      </w:r>
      <w:r w:rsidRPr="0019005C">
        <w:t xml:space="preserve">rst, that it simply emulates the securitisation that has characterised the UNSC’s engagement with </w:t>
      </w:r>
      <w:r w:rsidR="009D4BDA">
        <w:t xml:space="preserve">protection generally, and </w:t>
      </w:r>
      <w:r w:rsidRPr="0019005C">
        <w:t>CRSV</w:t>
      </w:r>
      <w:r w:rsidR="009D4BDA">
        <w:t xml:space="preserve"> specifically. Second, that such an approach</w:t>
      </w:r>
      <w:r w:rsidRPr="0019005C">
        <w:t xml:space="preserve"> further essentialises women</w:t>
      </w:r>
      <w:r w:rsidR="002D5564">
        <w:t>,</w:t>
      </w:r>
      <w:r w:rsidRPr="0019005C">
        <w:t xml:space="preserve"> drawing away from </w:t>
      </w:r>
      <w:r w:rsidRPr="0019005C">
        <w:lastRenderedPageBreak/>
        <w:t xml:space="preserve">women’s agency and missing the opportunity to be transformative. And finally, that </w:t>
      </w:r>
      <w:proofErr w:type="gramStart"/>
      <w:r w:rsidRPr="0019005C">
        <w:t xml:space="preserve">it  </w:t>
      </w:r>
      <w:r w:rsidR="009D4BDA">
        <w:t>continues</w:t>
      </w:r>
      <w:proofErr w:type="gramEnd"/>
      <w:r w:rsidR="009D4BDA">
        <w:t xml:space="preserve"> to neglect the need for an </w:t>
      </w:r>
      <w:r w:rsidRPr="0019005C">
        <w:t xml:space="preserve">ethical  approach to women’s rights in conflict. </w:t>
      </w:r>
    </w:p>
    <w:p w14:paraId="45810524" w14:textId="77777777" w:rsidR="00870ED3" w:rsidRPr="003641AA" w:rsidRDefault="00870ED3" w:rsidP="003641AA">
      <w:pPr>
        <w:spacing w:line="360" w:lineRule="auto"/>
        <w:jc w:val="both"/>
        <w:rPr>
          <w:highlight w:val="yellow"/>
        </w:rPr>
      </w:pPr>
    </w:p>
    <w:p w14:paraId="00000037" w14:textId="7C4BB34B" w:rsidR="00E77C08" w:rsidRDefault="00870ED3" w:rsidP="00870ED3">
      <w:pPr>
        <w:pStyle w:val="Heading2"/>
      </w:pPr>
      <w:r>
        <w:t>A. Avoiding the Securitisation of Women’s Participation</w:t>
      </w:r>
    </w:p>
    <w:p w14:paraId="5A991233" w14:textId="77777777" w:rsidR="00175A44" w:rsidRDefault="00175A44" w:rsidP="00175A44">
      <w:pPr>
        <w:spacing w:line="360" w:lineRule="auto"/>
        <w:jc w:val="both"/>
      </w:pPr>
    </w:p>
    <w:p w14:paraId="6F11F57C" w14:textId="6EF1B216" w:rsidR="00175A44" w:rsidRPr="0019005C" w:rsidRDefault="00175A44" w:rsidP="00175A44">
      <w:pPr>
        <w:spacing w:line="360" w:lineRule="auto"/>
        <w:jc w:val="both"/>
      </w:pPr>
      <w:r w:rsidRPr="0019005C">
        <w:t>The adoption</w:t>
      </w:r>
      <w:r w:rsidR="00BC4AC9">
        <w:t xml:space="preserve">, </w:t>
      </w:r>
      <w:r w:rsidR="00BC4AC9" w:rsidRPr="0019005C">
        <w:t>in quick succession</w:t>
      </w:r>
      <w:r w:rsidR="00BC4AC9">
        <w:t>,</w:t>
      </w:r>
      <w:r w:rsidRPr="0019005C">
        <w:t xml:space="preserve"> of a series of </w:t>
      </w:r>
      <w:r>
        <w:t xml:space="preserve">‘protection’ </w:t>
      </w:r>
      <w:r w:rsidRPr="0019005C">
        <w:t xml:space="preserve">resolutions </w:t>
      </w:r>
      <w:r>
        <w:t xml:space="preserve">focused on CRSV </w:t>
      </w:r>
      <w:r w:rsidRPr="0019005C">
        <w:t xml:space="preserve">at </w:t>
      </w:r>
      <w:r w:rsidR="00245A02">
        <w:t>its</w:t>
      </w:r>
      <w:r w:rsidRPr="0019005C">
        <w:t xml:space="preserve"> mid-way point</w:t>
      </w:r>
      <w:r w:rsidR="00245A02">
        <w:t xml:space="preserve"> to date,</w:t>
      </w:r>
      <w:r w:rsidRPr="0019005C">
        <w:t xml:space="preserve"> became the lightning rod for much of the scholarly and activist critique that has been directed at the WPS agenda. The trend towards </w:t>
      </w:r>
      <w:r>
        <w:t xml:space="preserve">a victim narrative </w:t>
      </w:r>
      <w:r w:rsidR="00245A02">
        <w:t xml:space="preserve">and </w:t>
      </w:r>
      <w:r>
        <w:t xml:space="preserve">a </w:t>
      </w:r>
      <w:r w:rsidR="0044783A">
        <w:t>focus on CRSV in those resolut</w:t>
      </w:r>
      <w:r w:rsidR="00245A02">
        <w:t>ions</w:t>
      </w:r>
      <w:r>
        <w:t xml:space="preserve"> </w:t>
      </w:r>
      <w:r w:rsidRPr="0019005C">
        <w:t xml:space="preserve">circumscribed a </w:t>
      </w:r>
      <w:r w:rsidR="00245A02">
        <w:t xml:space="preserve">restrictive </w:t>
      </w:r>
      <w:r w:rsidRPr="0019005C">
        <w:t xml:space="preserve">boundary to </w:t>
      </w:r>
      <w:r w:rsidR="00245A02">
        <w:t xml:space="preserve">the </w:t>
      </w:r>
      <w:r w:rsidRPr="0019005C">
        <w:t>idea of protection</w:t>
      </w:r>
      <w:r w:rsidR="00245A02">
        <w:t>. The narrow</w:t>
      </w:r>
      <w:r w:rsidR="008C0E9F">
        <w:t xml:space="preserve">ness of the lens on </w:t>
      </w:r>
      <w:r w:rsidR="00245A02">
        <w:t xml:space="preserve">CRSV ultimately </w:t>
      </w:r>
      <w:r>
        <w:t xml:space="preserve">failed to provide for the threats, risks and harms that women are subject to in the </w:t>
      </w:r>
      <w:r w:rsidR="00245A02">
        <w:t xml:space="preserve">broader </w:t>
      </w:r>
      <w:r>
        <w:t xml:space="preserve">context of </w:t>
      </w:r>
      <w:r w:rsidR="00245A02">
        <w:t xml:space="preserve">conflict, peacebuilding, and </w:t>
      </w:r>
      <w:r w:rsidR="008C0E9F">
        <w:t xml:space="preserve">particularly, the push for their </w:t>
      </w:r>
      <w:r>
        <w:t>participati</w:t>
      </w:r>
      <w:r w:rsidR="008C0E9F">
        <w:t>on</w:t>
      </w:r>
      <w:r>
        <w:t xml:space="preserve"> in public life. </w:t>
      </w:r>
      <w:r w:rsidRPr="0019005C">
        <w:t xml:space="preserve">The </w:t>
      </w:r>
      <w:r w:rsidR="00EC4E48">
        <w:t xml:space="preserve">initial </w:t>
      </w:r>
      <w:r>
        <w:t>framing</w:t>
      </w:r>
      <w:r w:rsidRPr="0019005C">
        <w:t xml:space="preserve"> </w:t>
      </w:r>
      <w:r w:rsidR="00F1159B">
        <w:t xml:space="preserve">of CRSV </w:t>
      </w:r>
      <w:r w:rsidRPr="0019005C">
        <w:t xml:space="preserve">as an aberrant and exceptional event linked only to armed actors is </w:t>
      </w:r>
      <w:r w:rsidR="00F1159B">
        <w:t xml:space="preserve">critiqued for </w:t>
      </w:r>
      <w:r w:rsidRPr="0019005C">
        <w:t>reinforc</w:t>
      </w:r>
      <w:r w:rsidR="00F1159B">
        <w:t>ing</w:t>
      </w:r>
      <w:r w:rsidRPr="0019005C">
        <w:t xml:space="preserve"> false legal and conceptual dichotomies</w:t>
      </w:r>
      <w:r w:rsidR="00F1159B">
        <w:t xml:space="preserve"> on women’s experiences of violence. In </w:t>
      </w:r>
      <w:r w:rsidRPr="0019005C">
        <w:t>particular</w:t>
      </w:r>
      <w:r w:rsidR="00F1159B">
        <w:t>, it was noted how this approach elides</w:t>
      </w:r>
      <w:r w:rsidRPr="0019005C">
        <w:t xml:space="preserve"> the relationship between CRSV and pre-conflict as well as co-existing gendered har</w:t>
      </w:r>
      <w:r w:rsidRPr="004145B5">
        <w:t>ms</w:t>
      </w:r>
      <w:r w:rsidR="00F1159B">
        <w:t xml:space="preserve"> in conflict and peacebuilding</w:t>
      </w:r>
      <w:r w:rsidRPr="004145B5">
        <w:t>.</w:t>
      </w:r>
      <w:r>
        <w:rPr>
          <w:rStyle w:val="FootnoteReference"/>
        </w:rPr>
        <w:footnoteReference w:id="115"/>
      </w:r>
      <w:r w:rsidRPr="0019005C">
        <w:t xml:space="preserve"> </w:t>
      </w:r>
      <w:r>
        <w:t>I</w:t>
      </w:r>
      <w:r w:rsidRPr="0019005C">
        <w:t>t also generated a particular representation of the victim subject of that violence, that of racialised and powerless women of the Global South</w:t>
      </w:r>
      <w:r w:rsidR="00F1159B">
        <w:t>,</w:t>
      </w:r>
      <w:r w:rsidRPr="0019005C">
        <w:t xml:space="preserve"> as victims in need of protection, and indeed racialised tropes of the men who commit such </w:t>
      </w:r>
      <w:r w:rsidRPr="004145B5">
        <w:t>crimes.</w:t>
      </w:r>
      <w:r>
        <w:rPr>
          <w:rStyle w:val="FootnoteReference"/>
        </w:rPr>
        <w:footnoteReference w:id="116"/>
      </w:r>
      <w:r w:rsidRPr="004145B5">
        <w:t xml:space="preserve"> The</w:t>
      </w:r>
      <w:r w:rsidRPr="0019005C">
        <w:t xml:space="preserve"> participation resolutions have in some cases attempted to counter these reductive assumptions by offering broader language that importantly refers to ‘gender-based violence’ rooted in gender inequalities more broadly.</w:t>
      </w:r>
      <w:r>
        <w:rPr>
          <w:rStyle w:val="FootnoteReference"/>
        </w:rPr>
        <w:footnoteReference w:id="117"/>
      </w:r>
      <w:r w:rsidRPr="0019005C">
        <w:t xml:space="preserve"> However, with the focus of the protection arm of WPS on a singular conception of CRSV seemingly </w:t>
      </w:r>
      <w:r>
        <w:t>‘</w:t>
      </w:r>
      <w:r w:rsidRPr="0019005C">
        <w:t>well intentioned…[it] avoids consideration of other issues and …can inadvertently frustrate other goals in human rights, particularly those of building enabling conditions that expand women's and men's capacities</w:t>
      </w:r>
      <w:bookmarkStart w:id="1" w:name="_Ref85197188"/>
      <w:r>
        <w:t>’</w:t>
      </w:r>
      <w:r w:rsidRPr="0019005C">
        <w:t>.</w:t>
      </w:r>
      <w:r>
        <w:rPr>
          <w:rStyle w:val="FootnoteReference"/>
        </w:rPr>
        <w:footnoteReference w:id="118"/>
      </w:r>
      <w:r w:rsidRPr="0019005C">
        <w:t xml:space="preserve"> </w:t>
      </w:r>
      <w:bookmarkEnd w:id="1"/>
    </w:p>
    <w:p w14:paraId="0EEE52A7" w14:textId="59ABED6F" w:rsidR="00175A44" w:rsidRDefault="00175A44" w:rsidP="00175A44">
      <w:pPr>
        <w:widowControl w:val="0"/>
        <w:autoSpaceDE w:val="0"/>
        <w:autoSpaceDN w:val="0"/>
        <w:adjustRightInd w:val="0"/>
        <w:spacing w:line="360" w:lineRule="auto"/>
        <w:ind w:firstLine="720"/>
        <w:jc w:val="both"/>
      </w:pPr>
      <w:r w:rsidRPr="0019005C">
        <w:t xml:space="preserve">It is therefore important to reflect on this critique and </w:t>
      </w:r>
      <w:r>
        <w:t>consider the</w:t>
      </w:r>
      <w:r w:rsidRPr="0019005C">
        <w:t xml:space="preserve"> risk</w:t>
      </w:r>
      <w:r>
        <w:t>s</w:t>
      </w:r>
      <w:r w:rsidRPr="0019005C">
        <w:t xml:space="preserve"> inherent in applying a ‘protection’ lens to women’s participation. The advancement of women’s rights broadly has, as chronicled by feminist scholars, been rife with the tensions inherent to the </w:t>
      </w:r>
      <w:r>
        <w:t>‘</w:t>
      </w:r>
      <w:r w:rsidRPr="0019005C">
        <w:t xml:space="preserve">protection/freedom </w:t>
      </w:r>
      <w:r w:rsidRPr="0019005C">
        <w:lastRenderedPageBreak/>
        <w:t>quandary,</w:t>
      </w:r>
      <w:r>
        <w:t>’</w:t>
      </w:r>
      <w:r w:rsidRPr="0019005C">
        <w:t xml:space="preserve"> which in turn is </w:t>
      </w:r>
      <w:r>
        <w:t>‘</w:t>
      </w:r>
      <w:r w:rsidRPr="0019005C">
        <w:t>critiqued for its neo-colonial forms, [and how] it unfolds in particularly dangerous ways in regard to women and violence</w:t>
      </w:r>
      <w:r>
        <w:t>’</w:t>
      </w:r>
      <w:r w:rsidR="00EC4E48">
        <w:t>.</w:t>
      </w:r>
      <w:r>
        <w:rPr>
          <w:rStyle w:val="FootnoteReference"/>
        </w:rPr>
        <w:footnoteReference w:id="119"/>
      </w:r>
      <w:r w:rsidRPr="0019005C">
        <w:t xml:space="preserve"> Many scholars have commented on how violence, and particularly </w:t>
      </w:r>
      <w:r w:rsidR="00770996">
        <w:t xml:space="preserve">the victimhood associated with </w:t>
      </w:r>
      <w:r w:rsidRPr="0019005C">
        <w:t>CRSV, holds particular potency, presenting a purist victim around which to galvanise</w:t>
      </w:r>
      <w:r w:rsidRPr="00CA60DA">
        <w:t>.</w:t>
      </w:r>
      <w:r>
        <w:rPr>
          <w:rStyle w:val="FootnoteReference"/>
        </w:rPr>
        <w:footnoteReference w:id="120"/>
      </w:r>
      <w:r w:rsidRPr="0019005C">
        <w:t xml:space="preserve"> </w:t>
      </w:r>
      <w:r w:rsidR="0097316A">
        <w:t>By</w:t>
      </w:r>
      <w:r w:rsidRPr="0019005C">
        <w:t xml:space="preserve"> centr</w:t>
      </w:r>
      <w:r w:rsidR="0097316A">
        <w:t>ing</w:t>
      </w:r>
      <w:r w:rsidRPr="0019005C">
        <w:t xml:space="preserve"> on the bodies of (Global South) women, rather than </w:t>
      </w:r>
      <w:r w:rsidR="00C358FF">
        <w:t>on an</w:t>
      </w:r>
      <w:r w:rsidRPr="0019005C">
        <w:t xml:space="preserve"> agent</w:t>
      </w:r>
      <w:r w:rsidR="00C358FF">
        <w:t>ic</w:t>
      </w:r>
      <w:r w:rsidRPr="0019005C">
        <w:t>-actor</w:t>
      </w:r>
      <w:r w:rsidR="00C358FF">
        <w:t xml:space="preserve">, </w:t>
      </w:r>
      <w:r w:rsidR="0097316A">
        <w:t>t</w:t>
      </w:r>
      <w:r w:rsidR="00C358FF">
        <w:t xml:space="preserve">he </w:t>
      </w:r>
      <w:r w:rsidR="0097316A">
        <w:t xml:space="preserve">realities of the role of </w:t>
      </w:r>
      <w:r w:rsidR="00C358FF">
        <w:t>global geopolitical</w:t>
      </w:r>
      <w:r w:rsidR="0097316A">
        <w:t xml:space="preserve"> </w:t>
      </w:r>
      <w:r w:rsidR="00C358FF">
        <w:t>inequalities that inform the violence</w:t>
      </w:r>
      <w:r w:rsidR="0097316A">
        <w:t xml:space="preserve"> are elided</w:t>
      </w:r>
      <w:r w:rsidR="00C358FF">
        <w:t>. It</w:t>
      </w:r>
      <w:r w:rsidRPr="0019005C">
        <w:t xml:space="preserve"> centres sexualised harm and the concerns of men</w:t>
      </w:r>
      <w:r w:rsidR="00C358FF">
        <w:t xml:space="preserve"> in respect to women’s sexual purity</w:t>
      </w:r>
      <w:r w:rsidRPr="0019005C">
        <w:t>, rather than the rights entitlements of any or all women</w:t>
      </w:r>
      <w:r w:rsidR="00C358FF">
        <w:t>,</w:t>
      </w:r>
      <w:r w:rsidRPr="0019005C">
        <w:t xml:space="preserve"> and </w:t>
      </w:r>
      <w:r w:rsidR="00C358FF">
        <w:t xml:space="preserve">the need to tackle the structural </w:t>
      </w:r>
      <w:r w:rsidRPr="0019005C">
        <w:t>barriers to their freedoms and choices (</w:t>
      </w:r>
      <w:r w:rsidR="00C358FF">
        <w:t xml:space="preserve">including </w:t>
      </w:r>
      <w:r w:rsidRPr="0019005C">
        <w:t xml:space="preserve">whether </w:t>
      </w:r>
      <w:r w:rsidR="00C358FF">
        <w:t>choices about whether to</w:t>
      </w:r>
      <w:r w:rsidRPr="0019005C">
        <w:t xml:space="preserve"> participate or not). </w:t>
      </w:r>
      <w:r w:rsidR="00C358FF">
        <w:t>W</w:t>
      </w:r>
      <w:r w:rsidRPr="0019005C">
        <w:t xml:space="preserve">ith the entry of violence against women into the Security Council, </w:t>
      </w:r>
      <w:r w:rsidR="00C358FF">
        <w:t xml:space="preserve">its procedural workings and negotiated language </w:t>
      </w:r>
      <w:r w:rsidRPr="0019005C">
        <w:t>has securitised the issue itself</w:t>
      </w:r>
      <w:r>
        <w:t>, such as</w:t>
      </w:r>
      <w:r w:rsidRPr="0019005C">
        <w:t xml:space="preserve"> the rights entitlement to live lives free of violence</w:t>
      </w:r>
      <w:r w:rsidR="00C358FF">
        <w:t xml:space="preserve">. It has </w:t>
      </w:r>
      <w:r w:rsidRPr="0019005C">
        <w:t>also securitised the idea of protection</w:t>
      </w:r>
      <w:r>
        <w:t>, namely</w:t>
      </w:r>
      <w:r w:rsidRPr="0019005C">
        <w:t xml:space="preserve"> that </w:t>
      </w:r>
      <w:r w:rsidR="00C358FF">
        <w:t>the response to this issue is a</w:t>
      </w:r>
      <w:r w:rsidRPr="0019005C">
        <w:t xml:space="preserve"> securitized response</w:t>
      </w:r>
      <w:r w:rsidR="00C358FF">
        <w:t>,</w:t>
      </w:r>
      <w:r w:rsidRPr="0019005C">
        <w:t xml:space="preserve"> </w:t>
      </w:r>
      <w:r w:rsidR="00C358FF">
        <w:t xml:space="preserve">responding </w:t>
      </w:r>
      <w:r w:rsidRPr="0019005C">
        <w:t xml:space="preserve">to </w:t>
      </w:r>
      <w:r w:rsidR="00C358FF">
        <w:t xml:space="preserve">the </w:t>
      </w:r>
      <w:r w:rsidRPr="0019005C">
        <w:t xml:space="preserve">danger to women’s </w:t>
      </w:r>
      <w:r w:rsidR="00C358FF">
        <w:t xml:space="preserve">physical </w:t>
      </w:r>
      <w:r w:rsidRPr="0019005C">
        <w:t>bodies</w:t>
      </w:r>
      <w:r w:rsidR="00C358FF">
        <w:t>,</w:t>
      </w:r>
      <w:r w:rsidRPr="0019005C">
        <w:t xml:space="preserve"> rather than </w:t>
      </w:r>
      <w:r w:rsidR="00C358FF">
        <w:t>fulfilling</w:t>
      </w:r>
      <w:r w:rsidRPr="0019005C">
        <w:t xml:space="preserve"> their </w:t>
      </w:r>
      <w:r w:rsidR="00C358FF">
        <w:t xml:space="preserve">inalienable </w:t>
      </w:r>
      <w:r w:rsidRPr="0019005C">
        <w:t xml:space="preserve">rights. There is significant risk that any moves by the UNSC to advance normative or operational activity on the participation-protection nexus becomes a securitised approach, </w:t>
      </w:r>
      <w:r>
        <w:t>continuing the pattern of</w:t>
      </w:r>
      <w:r w:rsidRPr="0019005C">
        <w:t xml:space="preserve"> the securitisation of women’s rights</w:t>
      </w:r>
      <w:r>
        <w:t xml:space="preserve"> to date by the agenda.</w:t>
      </w:r>
      <w:r>
        <w:rPr>
          <w:rStyle w:val="FootnoteReference"/>
        </w:rPr>
        <w:footnoteReference w:id="121"/>
      </w:r>
    </w:p>
    <w:p w14:paraId="66D61083" w14:textId="4949E2A3" w:rsidR="00175A44" w:rsidRPr="0019005C" w:rsidRDefault="00175A44" w:rsidP="00175A44">
      <w:pPr>
        <w:widowControl w:val="0"/>
        <w:autoSpaceDE w:val="0"/>
        <w:autoSpaceDN w:val="0"/>
        <w:adjustRightInd w:val="0"/>
        <w:spacing w:line="360" w:lineRule="auto"/>
        <w:ind w:firstLine="720"/>
        <w:jc w:val="both"/>
      </w:pPr>
      <w:r w:rsidRPr="0019005C">
        <w:t>The spectre of securitisation is already emerging. At global levels thus far</w:t>
      </w:r>
      <w:r w:rsidR="00B10075">
        <w:t>,</w:t>
      </w:r>
      <w:r w:rsidRPr="0019005C">
        <w:t xml:space="preserve"> policy dialogue on the participation-protection nexus has centred on women’s safety. This, as discussed, is a hugely important concern. Women activists, journalists and HRDs have been assassinated in multiple countries for the roles they play. Women who have addressed the UNSC have been re-located to ensure their safety, while formal securitised response programmes that aim to ensure protection and the physical safety of women in such positions are being developed</w:t>
      </w:r>
      <w:r>
        <w:t>.</w:t>
      </w:r>
      <w:r>
        <w:rPr>
          <w:rStyle w:val="FootnoteReference"/>
        </w:rPr>
        <w:footnoteReference w:id="122"/>
      </w:r>
      <w:r>
        <w:t xml:space="preserve">  </w:t>
      </w:r>
      <w:r w:rsidRPr="0019005C">
        <w:t>In the crisis unfolding in Afghanistan in 2021</w:t>
      </w:r>
      <w:r w:rsidR="00B10075">
        <w:t>, the</w:t>
      </w:r>
      <w:r w:rsidRPr="0019005C">
        <w:t xml:space="preserve"> physical safety </w:t>
      </w:r>
      <w:r w:rsidR="00B10075">
        <w:t xml:space="preserve">of women in leadership roles </w:t>
      </w:r>
      <w:r w:rsidRPr="0019005C">
        <w:t>was, and remains, of paramount concern</w:t>
      </w:r>
      <w:r w:rsidR="00EC4E48">
        <w:t xml:space="preserve">. </w:t>
      </w:r>
      <w:r w:rsidR="00B10075">
        <w:t>In that context, there</w:t>
      </w:r>
      <w:r w:rsidRPr="0019005C">
        <w:t xml:space="preserve"> was</w:t>
      </w:r>
      <w:r w:rsidR="00B10075">
        <w:t xml:space="preserve">, out of </w:t>
      </w:r>
      <w:proofErr w:type="gramStart"/>
      <w:r w:rsidR="00B10075">
        <w:t xml:space="preserve">necessity, </w:t>
      </w:r>
      <w:r w:rsidRPr="0019005C">
        <w:t xml:space="preserve"> an</w:t>
      </w:r>
      <w:proofErr w:type="gramEnd"/>
      <w:r w:rsidRPr="0019005C">
        <w:t xml:space="preserve"> immediate evacuation response. However, if the response to the protection of women who are</w:t>
      </w:r>
      <w:r w:rsidR="00B10075">
        <w:t xml:space="preserve"> playing</w:t>
      </w:r>
      <w:r w:rsidRPr="0019005C">
        <w:t xml:space="preserve"> visible </w:t>
      </w:r>
      <w:r w:rsidR="00B10075">
        <w:t xml:space="preserve">roles </w:t>
      </w:r>
      <w:r w:rsidRPr="0019005C">
        <w:t xml:space="preserve">and </w:t>
      </w:r>
      <w:r w:rsidR="00B10075">
        <w:t xml:space="preserve">are </w:t>
      </w:r>
      <w:r>
        <w:t xml:space="preserve">in </w:t>
      </w:r>
      <w:r w:rsidRPr="0019005C">
        <w:t xml:space="preserve">vulnerable positions </w:t>
      </w:r>
      <w:r w:rsidR="0028757B">
        <w:t xml:space="preserve">as a result </w:t>
      </w:r>
      <w:r w:rsidRPr="0019005C">
        <w:t xml:space="preserve">is </w:t>
      </w:r>
      <w:r w:rsidR="0028757B">
        <w:t xml:space="preserve">a </w:t>
      </w:r>
      <w:r w:rsidRPr="0019005C">
        <w:t xml:space="preserve">securitised </w:t>
      </w:r>
      <w:r w:rsidR="0028757B">
        <w:t xml:space="preserve">one, such as </w:t>
      </w:r>
      <w:r w:rsidRPr="0019005C">
        <w:t>through evacuation and physical protection, at what point will participation become a safe endeavour for women?</w:t>
      </w:r>
    </w:p>
    <w:p w14:paraId="00000038" w14:textId="3EFF01CA" w:rsidR="00E77C08" w:rsidRDefault="00175A44" w:rsidP="00F3780B">
      <w:pPr>
        <w:widowControl w:val="0"/>
        <w:autoSpaceDE w:val="0"/>
        <w:autoSpaceDN w:val="0"/>
        <w:adjustRightInd w:val="0"/>
        <w:spacing w:line="360" w:lineRule="auto"/>
        <w:ind w:firstLine="360"/>
        <w:jc w:val="both"/>
      </w:pPr>
      <w:r w:rsidRPr="0019005C">
        <w:t xml:space="preserve">In the growing acknowledgement of the need to recognise the inter-relationship between </w:t>
      </w:r>
      <w:r w:rsidRPr="0019005C">
        <w:lastRenderedPageBreak/>
        <w:t xml:space="preserve">participation and protection lies a conundrum. There is an empirical reality in which women experience violence, risks, sexual harassment and practical as well as socio-cultural barriers to their freedoms. Crucially, this </w:t>
      </w:r>
      <w:proofErr w:type="gramStart"/>
      <w:r w:rsidRPr="0019005C">
        <w:t>includes  their</w:t>
      </w:r>
      <w:proofErr w:type="gramEnd"/>
      <w:r w:rsidRPr="0019005C">
        <w:t xml:space="preserve"> right to participate in public and political life. The argument outlined in this article is not simply a </w:t>
      </w:r>
      <w:r w:rsidR="009040E3">
        <w:t>‘</w:t>
      </w:r>
      <w:r w:rsidRPr="0019005C">
        <w:t>symbolic exercise: there are real harms to be prevented and responded to here</w:t>
      </w:r>
      <w:r w:rsidR="009040E3">
        <w:t>’</w:t>
      </w:r>
      <w:r w:rsidRPr="0019005C">
        <w:t>.</w:t>
      </w:r>
      <w:r w:rsidR="009040E3">
        <w:rPr>
          <w:rStyle w:val="FootnoteReference"/>
        </w:rPr>
        <w:footnoteReference w:id="123"/>
      </w:r>
      <w:r w:rsidRPr="0019005C">
        <w:t xml:space="preserve">  The specificities of the experience of risk and the protection rights that arise require full acknowledgement as well as direct engagement. </w:t>
      </w:r>
      <w:r>
        <w:t>I</w:t>
      </w:r>
      <w:r w:rsidRPr="0019005C">
        <w:t xml:space="preserve">n so doing, engagement </w:t>
      </w:r>
      <w:r>
        <w:t xml:space="preserve">must </w:t>
      </w:r>
      <w:r w:rsidR="00AB2DC7">
        <w:t xml:space="preserve">also however </w:t>
      </w:r>
      <w:r>
        <w:t xml:space="preserve">be </w:t>
      </w:r>
      <w:r w:rsidR="00AB2DC7">
        <w:t xml:space="preserve">taken </w:t>
      </w:r>
      <w:r>
        <w:t>at</w:t>
      </w:r>
      <w:r w:rsidRPr="0019005C">
        <w:t xml:space="preserve"> deeper levels, </w:t>
      </w:r>
      <w:r w:rsidR="00AB2DC7">
        <w:t>beyond a securitised response to physical safety. A</w:t>
      </w:r>
      <w:r>
        <w:t>ddressing</w:t>
      </w:r>
      <w:r w:rsidRPr="0019005C">
        <w:t xml:space="preserve"> </w:t>
      </w:r>
      <w:r w:rsidR="00AB2DC7">
        <w:t>the ways that</w:t>
      </w:r>
      <w:r w:rsidRPr="0019005C">
        <w:t xml:space="preserve"> gendered violence</w:t>
      </w:r>
      <w:r w:rsidR="00AB2DC7">
        <w:t xml:space="preserve">, and women’s freedoms, choices and participation, are controlled and </w:t>
      </w:r>
      <w:r w:rsidRPr="0019005C">
        <w:t xml:space="preserve">determined by </w:t>
      </w:r>
      <w:r w:rsidR="00AB2DC7">
        <w:t xml:space="preserve">the intersecting </w:t>
      </w:r>
      <w:r w:rsidRPr="0019005C">
        <w:t xml:space="preserve">complexities </w:t>
      </w:r>
      <w:r w:rsidR="00AB2DC7">
        <w:t>of</w:t>
      </w:r>
      <w:r>
        <w:t xml:space="preserve"> </w:t>
      </w:r>
      <w:r w:rsidRPr="0019005C">
        <w:t>sexism</w:t>
      </w:r>
      <w:r w:rsidR="00AB2DC7">
        <w:t xml:space="preserve">, </w:t>
      </w:r>
      <w:r w:rsidRPr="0019005C">
        <w:t xml:space="preserve">racism and </w:t>
      </w:r>
      <w:r w:rsidR="00AB2DC7">
        <w:t>hegemonies in geopolitics, is much need. Substantive normative and linguistic engagement with these issues,</w:t>
      </w:r>
      <w:r w:rsidR="009A0839">
        <w:t xml:space="preserve"> </w:t>
      </w:r>
      <w:r w:rsidR="00AB2DC7">
        <w:t xml:space="preserve">must </w:t>
      </w:r>
      <w:r w:rsidRPr="0019005C">
        <w:t xml:space="preserve">acknowledge that the system in which </w:t>
      </w:r>
      <w:r w:rsidR="00AB2DC7">
        <w:t xml:space="preserve">the </w:t>
      </w:r>
      <w:r w:rsidRPr="0019005C">
        <w:t xml:space="preserve">participation-protection </w:t>
      </w:r>
      <w:r w:rsidR="00AB2DC7">
        <w:t>nexus is</w:t>
      </w:r>
      <w:r w:rsidRPr="0019005C">
        <w:t xml:space="preserve"> advanced is </w:t>
      </w:r>
      <w:r w:rsidR="00AB2DC7">
        <w:t>one of</w:t>
      </w:r>
      <w:r w:rsidRPr="0019005C">
        <w:t xml:space="preserve"> system</w:t>
      </w:r>
      <w:r w:rsidR="00AB2DC7">
        <w:t>ic</w:t>
      </w:r>
      <w:r w:rsidRPr="0019005C">
        <w:t xml:space="preserve"> oppression, exclusion and power inequalities. </w:t>
      </w:r>
      <w:r w:rsidRPr="0019005C">
        <w:rPr>
          <w:lang w:val="en-US"/>
        </w:rPr>
        <w:t xml:space="preserve">Implementing the WPS agenda in connective </w:t>
      </w:r>
      <w:r w:rsidR="00316EA6">
        <w:rPr>
          <w:lang w:val="en-US"/>
        </w:rPr>
        <w:t xml:space="preserve">across these pillars </w:t>
      </w:r>
      <w:r w:rsidRPr="0019005C">
        <w:rPr>
          <w:lang w:val="en-US"/>
        </w:rPr>
        <w:t xml:space="preserve">ways requires a dual-pronged approach: </w:t>
      </w:r>
      <w:r w:rsidR="00EC4E48">
        <w:rPr>
          <w:lang w:val="en-US"/>
        </w:rPr>
        <w:t>(</w:t>
      </w:r>
      <w:proofErr w:type="spellStart"/>
      <w:r w:rsidR="00EC4E48">
        <w:rPr>
          <w:lang w:val="en-US"/>
        </w:rPr>
        <w:t>i</w:t>
      </w:r>
      <w:proofErr w:type="spellEnd"/>
      <w:r w:rsidR="00EC4E48">
        <w:rPr>
          <w:lang w:val="en-US"/>
        </w:rPr>
        <w:t xml:space="preserve">) </w:t>
      </w:r>
      <w:r w:rsidRPr="0019005C">
        <w:rPr>
          <w:lang w:val="en-US"/>
        </w:rPr>
        <w:t xml:space="preserve">immediate securitized responses in crisis situations to ensure the safety of women, while also, importantly, </w:t>
      </w:r>
      <w:r w:rsidR="00EC4E48">
        <w:rPr>
          <w:lang w:val="en-US"/>
        </w:rPr>
        <w:t xml:space="preserve">(ii) </w:t>
      </w:r>
      <w:r w:rsidRPr="0019005C">
        <w:rPr>
          <w:lang w:val="en-US"/>
        </w:rPr>
        <w:t>accompanied by longer-term strategies that tackle the root causes and the conditions that create these levels of risk for women in the first place.  This entails taking a much longer-term view of what constitutes risk and protection concerns for women, addressing them much earlier in the context of promoting their participation</w:t>
      </w:r>
      <w:r w:rsidR="00316EA6">
        <w:rPr>
          <w:lang w:val="en-US"/>
        </w:rPr>
        <w:t xml:space="preserve"> and viewing the WPS agenda itself, and its provisions, as longer-term commitments to fulfilling women’s rights</w:t>
      </w:r>
      <w:r w:rsidRPr="0019005C">
        <w:rPr>
          <w:lang w:val="en-US"/>
        </w:rPr>
        <w:t xml:space="preserve">. </w:t>
      </w:r>
      <w:r w:rsidRPr="0019005C">
        <w:t xml:space="preserve">The securitised and fetishized approach taken to protection of women from CRSV must not be repeated in the approach taken to protection </w:t>
      </w:r>
      <w:r w:rsidR="00316EA6">
        <w:t>related to</w:t>
      </w:r>
      <w:r w:rsidRPr="0019005C">
        <w:t xml:space="preserve"> participation. </w:t>
      </w:r>
    </w:p>
    <w:p w14:paraId="42CD840C" w14:textId="77777777" w:rsidR="00F3780B" w:rsidRPr="00F3780B" w:rsidRDefault="00F3780B" w:rsidP="00F3780B">
      <w:pPr>
        <w:widowControl w:val="0"/>
        <w:autoSpaceDE w:val="0"/>
        <w:autoSpaceDN w:val="0"/>
        <w:adjustRightInd w:val="0"/>
        <w:spacing w:line="360" w:lineRule="auto"/>
        <w:ind w:firstLine="360"/>
        <w:jc w:val="both"/>
      </w:pPr>
    </w:p>
    <w:p w14:paraId="2158832C" w14:textId="0310F13F" w:rsidR="009040E3" w:rsidRPr="009040E3" w:rsidRDefault="009040E3" w:rsidP="009040E3">
      <w:pPr>
        <w:pStyle w:val="Heading2"/>
        <w:numPr>
          <w:ilvl w:val="0"/>
          <w:numId w:val="23"/>
        </w:numPr>
        <w:jc w:val="left"/>
      </w:pPr>
      <w:r w:rsidRPr="009040E3">
        <w:t xml:space="preserve">Who are the ‘right women? Essentialism and hierarchies in participation. </w:t>
      </w:r>
    </w:p>
    <w:p w14:paraId="3D7735D2" w14:textId="77777777" w:rsidR="009040E3" w:rsidRDefault="009040E3" w:rsidP="009040E3">
      <w:pPr>
        <w:spacing w:line="360" w:lineRule="auto"/>
        <w:jc w:val="both"/>
        <w:rPr>
          <w:b/>
        </w:rPr>
      </w:pPr>
    </w:p>
    <w:p w14:paraId="571D1931" w14:textId="2D09EC82" w:rsidR="000C359C" w:rsidRDefault="00D828DB" w:rsidP="009040E3">
      <w:pPr>
        <w:spacing w:line="360" w:lineRule="auto"/>
        <w:jc w:val="both"/>
      </w:pPr>
      <w:r>
        <w:t>R</w:t>
      </w:r>
      <w:r w:rsidR="009040E3" w:rsidRPr="0019005C">
        <w:t>esearch and practice on the participation pillar has been strongly characterised by attempts to accommodate the dual concerns of descriptive and substantive representation.</w:t>
      </w:r>
      <w:r w:rsidR="000C359C">
        <w:rPr>
          <w:rStyle w:val="FootnoteReference"/>
        </w:rPr>
        <w:footnoteReference w:id="124"/>
      </w:r>
      <w:r w:rsidR="009040E3" w:rsidRPr="0019005C">
        <w:t xml:space="preserve"> The weight given to instrumental accounts of the benefits of including women have given rise to tensions in respect of </w:t>
      </w:r>
      <w:r w:rsidR="009040E3" w:rsidRPr="3BB1B761">
        <w:rPr>
          <w:i/>
          <w:iCs/>
        </w:rPr>
        <w:t>who</w:t>
      </w:r>
      <w:r w:rsidR="009040E3" w:rsidRPr="0019005C">
        <w:t xml:space="preserve"> is invited to participate and on what terms. </w:t>
      </w:r>
    </w:p>
    <w:p w14:paraId="796315A6" w14:textId="2B013155" w:rsidR="009040E3" w:rsidRPr="0019005C" w:rsidRDefault="00AC1306" w:rsidP="000C359C">
      <w:pPr>
        <w:spacing w:line="360" w:lineRule="auto"/>
        <w:ind w:firstLine="720"/>
        <w:jc w:val="both"/>
      </w:pPr>
      <w:r>
        <w:lastRenderedPageBreak/>
        <w:t>D</w:t>
      </w:r>
      <w:r w:rsidR="009040E3" w:rsidRPr="0019005C">
        <w:t xml:space="preserve">eeper questions </w:t>
      </w:r>
      <w:r>
        <w:t>are prompted here.</w:t>
      </w:r>
      <w:r w:rsidR="009040E3" w:rsidRPr="0019005C">
        <w:t xml:space="preserve">  For example, how does WPS define the categories of women for whom protection is needed and why. Policy to date has coalesced around two categories of women – those of</w:t>
      </w:r>
      <w:r w:rsidR="00F32B99">
        <w:t xml:space="preserve"> </w:t>
      </w:r>
      <w:r w:rsidR="009040E3" w:rsidRPr="0019005C">
        <w:t xml:space="preserve">peacebuilders and human rights defenders. These are the </w:t>
      </w:r>
      <w:r w:rsidR="000C359C">
        <w:t>‘</w:t>
      </w:r>
      <w:proofErr w:type="spellStart"/>
      <w:r w:rsidR="009040E3" w:rsidRPr="0019005C">
        <w:t>superheroic</w:t>
      </w:r>
      <w:proofErr w:type="spellEnd"/>
      <w:r w:rsidR="000C359C">
        <w:t>’</w:t>
      </w:r>
      <w:r w:rsidR="009040E3" w:rsidRPr="0019005C">
        <w:t xml:space="preserve"> women who both embody and advance the ideals of the WPS agenda through their activism.</w:t>
      </w:r>
      <w:r w:rsidR="000C359C">
        <w:rPr>
          <w:rStyle w:val="FootnoteReference"/>
        </w:rPr>
        <w:footnoteReference w:id="125"/>
      </w:r>
      <w:r w:rsidR="009040E3" w:rsidRPr="0019005C">
        <w:t xml:space="preserve"> While these categories undoubtedly encapsulate many of the priorities and indeed risks of engagement with the WPS agenda, there is a </w:t>
      </w:r>
      <w:r w:rsidR="00F32B99">
        <w:t xml:space="preserve">further </w:t>
      </w:r>
      <w:proofErr w:type="gramStart"/>
      <w:r w:rsidR="00F32B99">
        <w:t xml:space="preserve">danger </w:t>
      </w:r>
      <w:r w:rsidR="009040E3" w:rsidRPr="0019005C">
        <w:t xml:space="preserve"> that</w:t>
      </w:r>
      <w:proofErr w:type="gramEnd"/>
      <w:r w:rsidR="009040E3" w:rsidRPr="0019005C">
        <w:t xml:space="preserve"> if the participation-protection nexus centres only on these archetypes</w:t>
      </w:r>
      <w:r w:rsidR="00F32B99">
        <w:t>,</w:t>
      </w:r>
      <w:r w:rsidR="009040E3" w:rsidRPr="0019005C">
        <w:t xml:space="preserve"> the scope of protection will be unnecessarily limited. </w:t>
      </w:r>
    </w:p>
    <w:p w14:paraId="44F0E49E" w14:textId="6DB42E0B" w:rsidR="000C359C" w:rsidRDefault="009040E3" w:rsidP="009040E3">
      <w:pPr>
        <w:spacing w:line="360" w:lineRule="auto"/>
        <w:ind w:firstLine="720"/>
        <w:jc w:val="both"/>
      </w:pPr>
      <w:r w:rsidRPr="0019005C">
        <w:t xml:space="preserve">Equality of participation in public life is established under </w:t>
      </w:r>
      <w:r w:rsidR="000C359C">
        <w:t>the Convention on the Elimination of Discrimination Against Women (</w:t>
      </w:r>
      <w:r w:rsidRPr="0019005C">
        <w:t>CEDAW</w:t>
      </w:r>
      <w:r w:rsidR="000C359C">
        <w:t>)</w:t>
      </w:r>
      <w:r w:rsidRPr="0019005C">
        <w:rPr>
          <w:rStyle w:val="FootnoteReference"/>
        </w:rPr>
        <w:footnoteReference w:id="126"/>
      </w:r>
      <w:r w:rsidRPr="0019005C">
        <w:t xml:space="preserve"> and is a key premise on which UNSCR1325 and the subsequent WPS resolutions are based: to advance women’s right to full and equal representation through the security regime of the United Nations and in conflict and peacebuilding </w:t>
      </w:r>
      <w:r w:rsidRPr="006F3028">
        <w:t>contexts.</w:t>
      </w:r>
      <w:r w:rsidR="000C359C">
        <w:rPr>
          <w:rStyle w:val="FootnoteReference"/>
        </w:rPr>
        <w:footnoteReference w:id="127"/>
      </w:r>
      <w:r w:rsidRPr="0019005C">
        <w:t xml:space="preserve"> CEDAW’s General Recommendation No. 23</w:t>
      </w:r>
      <w:r w:rsidR="000C359C">
        <w:t xml:space="preserve"> </w:t>
      </w:r>
      <w:r w:rsidRPr="0019005C">
        <w:t>guides states towards removing the barriers to enjoyment of those rights</w:t>
      </w:r>
      <w:r w:rsidR="006D2912">
        <w:t xml:space="preserve"> generally</w:t>
      </w:r>
      <w:r w:rsidR="00916A5D">
        <w:t>.</w:t>
      </w:r>
      <w:r w:rsidR="000C359C">
        <w:rPr>
          <w:rStyle w:val="FootnoteReference"/>
        </w:rPr>
        <w:footnoteReference w:id="128"/>
      </w:r>
      <w:r w:rsidRPr="0019005C">
        <w:t xml:space="preserve"> General Recommendation No. 30 specifically identified women HRDs </w:t>
      </w:r>
      <w:r w:rsidR="006D2912">
        <w:t xml:space="preserve">in conflict contexts </w:t>
      </w:r>
      <w:r w:rsidRPr="0019005C">
        <w:t>as a specific category at risk of violence by state and non-state actors</w:t>
      </w:r>
      <w:r w:rsidR="00DD28C8">
        <w:t>. It</w:t>
      </w:r>
      <w:r w:rsidRPr="0019005C">
        <w:t xml:space="preserve"> makes explicit the link between such violence and </w:t>
      </w:r>
      <w:r w:rsidR="000C359C">
        <w:t>‘</w:t>
      </w:r>
      <w:r w:rsidRPr="0019005C">
        <w:t>women’s equal and meaningful participation in political and public life</w:t>
      </w:r>
      <w:r w:rsidR="000C359C">
        <w:t>’</w:t>
      </w:r>
      <w:r w:rsidRPr="0019005C">
        <w:t>.</w:t>
      </w:r>
      <w:r w:rsidR="000C359C">
        <w:rPr>
          <w:rStyle w:val="FootnoteReference"/>
        </w:rPr>
        <w:footnoteReference w:id="129"/>
      </w:r>
      <w:r w:rsidRPr="0019005C">
        <w:t xml:space="preserve"> </w:t>
      </w:r>
    </w:p>
    <w:p w14:paraId="55ABE739" w14:textId="6BA6B6FC" w:rsidR="000C359C" w:rsidRDefault="009040E3" w:rsidP="009040E3">
      <w:pPr>
        <w:spacing w:line="360" w:lineRule="auto"/>
        <w:ind w:firstLine="720"/>
        <w:jc w:val="both"/>
      </w:pPr>
      <w:r w:rsidRPr="0019005C">
        <w:t xml:space="preserve">Addressing these barriers means moving beyond individualised approaches that celebrate </w:t>
      </w:r>
      <w:r w:rsidR="000A6234">
        <w:t xml:space="preserve">individual </w:t>
      </w:r>
      <w:r w:rsidRPr="0019005C">
        <w:t>visibility</w:t>
      </w:r>
      <w:r w:rsidR="000A6234">
        <w:t>,</w:t>
      </w:r>
      <w:r w:rsidRPr="0019005C">
        <w:t xml:space="preserve"> towards recognising the structural inhibitors that impede both the </w:t>
      </w:r>
      <w:r w:rsidR="000A6234">
        <w:t xml:space="preserve">collective </w:t>
      </w:r>
      <w:r w:rsidRPr="0019005C">
        <w:t>ability</w:t>
      </w:r>
      <w:r w:rsidR="000A6234">
        <w:t>,</w:t>
      </w:r>
      <w:r w:rsidRPr="0019005C">
        <w:t xml:space="preserve"> </w:t>
      </w:r>
      <w:r w:rsidR="000A6234">
        <w:t>and</w:t>
      </w:r>
      <w:r w:rsidRPr="0019005C">
        <w:t xml:space="preserve"> also </w:t>
      </w:r>
      <w:r w:rsidR="001F75DF">
        <w:t xml:space="preserve">potentially </w:t>
      </w:r>
      <w:r w:rsidRPr="0019005C">
        <w:t xml:space="preserve">the willingness of women to participate in public life. For example, the linking of participation with high level </w:t>
      </w:r>
      <w:r>
        <w:t xml:space="preserve">international </w:t>
      </w:r>
      <w:r w:rsidRPr="0019005C">
        <w:t>peace processes naturally prioritises certain classes of women</w:t>
      </w:r>
      <w:r w:rsidR="001F75DF">
        <w:t xml:space="preserve">. It implies those </w:t>
      </w:r>
      <w:r w:rsidRPr="0019005C">
        <w:t>with sufficient political, economic and social capital</w:t>
      </w:r>
      <w:r>
        <w:t>, as well as</w:t>
      </w:r>
      <w:r w:rsidRPr="0019005C">
        <w:t xml:space="preserve"> discursive methods and means acceptable to states and international actors. This in turn</w:t>
      </w:r>
      <w:r w:rsidR="009A0839">
        <w:t xml:space="preserve"> </w:t>
      </w:r>
      <w:r w:rsidRPr="0019005C">
        <w:t xml:space="preserve">creates hierarchies when it comes to participation. The WPS resolutions are </w:t>
      </w:r>
      <w:r w:rsidR="000C359C">
        <w:t>‘</w:t>
      </w:r>
      <w:r w:rsidRPr="0019005C">
        <w:t>largely silent</w:t>
      </w:r>
      <w:r w:rsidR="000C359C">
        <w:t>’</w:t>
      </w:r>
      <w:r w:rsidRPr="0019005C">
        <w:t xml:space="preserve"> about </w:t>
      </w:r>
      <w:r w:rsidRPr="0019005C">
        <w:lastRenderedPageBreak/>
        <w:t>women with interests diverse to those attached to ideas of participation under the agenda</w:t>
      </w:r>
      <w:r w:rsidR="001F75DF">
        <w:t>, or those circumscribed as acceptable by internationally-led processes</w:t>
      </w:r>
      <w:r w:rsidRPr="0019005C">
        <w:t>.</w:t>
      </w:r>
      <w:r w:rsidR="000C359C">
        <w:rPr>
          <w:rStyle w:val="FootnoteReference"/>
        </w:rPr>
        <w:footnoteReference w:id="130"/>
      </w:r>
      <w:r w:rsidRPr="0019005C">
        <w:t xml:space="preserve"> There is a real risk of creating a multi-tier protection system whereby protection beyond the CRSV frame is extended only to the ‘right type of participant’, usually elite women who can negotiate this system, and are platformed within it. </w:t>
      </w:r>
    </w:p>
    <w:p w14:paraId="6942840D" w14:textId="092166A1" w:rsidR="009040E3" w:rsidRPr="0019005C" w:rsidRDefault="009040E3" w:rsidP="009040E3">
      <w:pPr>
        <w:spacing w:line="360" w:lineRule="auto"/>
        <w:ind w:firstLine="720"/>
        <w:jc w:val="both"/>
      </w:pPr>
      <w:r w:rsidRPr="0019005C">
        <w:t xml:space="preserve">The way that protection </w:t>
      </w:r>
      <w:r w:rsidR="00302C4B">
        <w:t xml:space="preserve">related to participation </w:t>
      </w:r>
      <w:r w:rsidRPr="0019005C">
        <w:t>becomes visible matters. If states advance performative protection</w:t>
      </w:r>
      <w:r w:rsidR="00302C4B">
        <w:t>,</w:t>
      </w:r>
      <w:r w:rsidRPr="0019005C">
        <w:t xml:space="preserve"> such as visible funding and programming </w:t>
      </w:r>
      <w:r>
        <w:t>that</w:t>
      </w:r>
      <w:r w:rsidRPr="0019005C">
        <w:t xml:space="preserve"> rep</w:t>
      </w:r>
      <w:r>
        <w:t>roduces</w:t>
      </w:r>
      <w:r w:rsidRPr="0019005C">
        <w:t xml:space="preserve"> the ‘saving women’ rhetoric that characterised the emergence of the CRSV resolutions, then many women will be unable to avail of those protections. Such initiatives may present further risk and re-essentialise women’s participation/agency in line with metanarratives of protecting women rather than guaranteeing their fundamental rights. </w:t>
      </w:r>
      <w:r>
        <w:t>They also</w:t>
      </w:r>
      <w:r w:rsidRPr="0019005C">
        <w:t xml:space="preserve"> obscure the sexist meta-assumption that underlies the idea of participation under WPS, namely that women who participate are themselves always going to peaceful.</w:t>
      </w:r>
      <w:r w:rsidR="000C359C">
        <w:rPr>
          <w:rStyle w:val="FootnoteReference"/>
        </w:rPr>
        <w:footnoteReference w:id="131"/>
      </w:r>
      <w:r w:rsidRPr="0019005C">
        <w:t xml:space="preserve"> Women at micro-levels, those who are undertaking significant but less overt interventions on an interpersonal basis, and indeed those who do not either self-identify with, or neatly fit into, the peacebuilder/HRD trope,</w:t>
      </w:r>
      <w:r w:rsidR="000C359C">
        <w:rPr>
          <w:rStyle w:val="FootnoteReference"/>
        </w:rPr>
        <w:footnoteReference w:id="132"/>
      </w:r>
      <w:r w:rsidRPr="0019005C">
        <w:t xml:space="preserve"> </w:t>
      </w:r>
      <w:r>
        <w:t xml:space="preserve">and who </w:t>
      </w:r>
      <w:r w:rsidRPr="0019005C">
        <w:t>may be subject to less-tangible but nonetheless significant threats and risks, may not be able to avail of such protections.</w:t>
      </w:r>
    </w:p>
    <w:p w14:paraId="37D0E594" w14:textId="1916CB01" w:rsidR="009040E3" w:rsidRPr="0019005C" w:rsidRDefault="009040E3" w:rsidP="009040E3">
      <w:pPr>
        <w:spacing w:line="360" w:lineRule="auto"/>
        <w:ind w:firstLine="720"/>
        <w:jc w:val="both"/>
      </w:pPr>
      <w:r w:rsidRPr="0019005C">
        <w:t>Similarly, the contribution of women’s civil society will</w:t>
      </w:r>
      <w:r w:rsidR="00F366A5">
        <w:t xml:space="preserve"> continue to</w:t>
      </w:r>
      <w:r w:rsidRPr="0019005C">
        <w:t xml:space="preserve"> be shaped by their ability to comply with funding and reporting priorities of international donors, who in turn respond to criteria originating in the UNSC resolutions and associated state-level action plans adopted to implement the agenda. The WPS resolutions are not neutral frameworks when it comes to participation. They import implicit biases into the process through the way participation is framed in the texts. Research already shows that participation </w:t>
      </w:r>
      <w:r w:rsidR="000C359C">
        <w:t>‘</w:t>
      </w:r>
      <w:r w:rsidRPr="0019005C">
        <w:t xml:space="preserve">is …[not] experienced evenly among and across women of different racial, ethnic, economic, political and other </w:t>
      </w:r>
      <w:proofErr w:type="gramStart"/>
      <w:r w:rsidRPr="0019005C">
        <w:t>backgrounds</w:t>
      </w:r>
      <w:r w:rsidR="000C359C">
        <w:t>’</w:t>
      </w:r>
      <w:proofErr w:type="gramEnd"/>
      <w:r w:rsidR="000C359C">
        <w:t>.</w:t>
      </w:r>
      <w:r w:rsidR="000C359C">
        <w:rPr>
          <w:rStyle w:val="FootnoteReference"/>
        </w:rPr>
        <w:footnoteReference w:id="133"/>
      </w:r>
      <w:r w:rsidRPr="0019005C">
        <w:t xml:space="preserve"> Ignoring these differences among women means also ignoring the differentiated risks that they face. Addressing only a narrow category of risk undermines the potential of the WPS agenda as a normative framework for the global promotion of gender equality.</w:t>
      </w:r>
    </w:p>
    <w:p w14:paraId="3D019731" w14:textId="75C6D5FC" w:rsidR="00F02312" w:rsidRDefault="3BB1B761" w:rsidP="00F02312">
      <w:pPr>
        <w:spacing w:line="360" w:lineRule="auto"/>
        <w:ind w:firstLine="360"/>
        <w:jc w:val="both"/>
      </w:pPr>
      <w:r>
        <w:lastRenderedPageBreak/>
        <w:t xml:space="preserve">Focusing on a narrowly defined model of participation therefore </w:t>
      </w:r>
      <w:proofErr w:type="gramStart"/>
      <w:r>
        <w:t>compounds  the</w:t>
      </w:r>
      <w:proofErr w:type="gramEnd"/>
      <w:r>
        <w:t xml:space="preserve"> risks of securitisation outlined. It impedes the potential of reading participation and protection as interconnected pillars as a means towards fulfilment of women’s rights in the WPS agenda. To move beyond this, it is necessary to adapt thinking towards an ethics of inclusion and care that casts the net of participation widely, and adapts protection to match. </w:t>
      </w:r>
    </w:p>
    <w:p w14:paraId="66CC6A71" w14:textId="77777777" w:rsidR="00F02312" w:rsidRPr="0019005C" w:rsidRDefault="00F02312" w:rsidP="00F02312">
      <w:pPr>
        <w:spacing w:line="360" w:lineRule="auto"/>
        <w:ind w:firstLine="360"/>
        <w:jc w:val="both"/>
      </w:pPr>
    </w:p>
    <w:p w14:paraId="2C4243D7" w14:textId="6DA365D5" w:rsidR="00F02312" w:rsidRDefault="00F02312" w:rsidP="00F02312">
      <w:pPr>
        <w:pStyle w:val="Heading2"/>
        <w:numPr>
          <w:ilvl w:val="0"/>
          <w:numId w:val="23"/>
        </w:numPr>
        <w:spacing w:after="0" w:line="480" w:lineRule="auto"/>
        <w:rPr>
          <w:bCs/>
          <w:szCs w:val="24"/>
        </w:rPr>
      </w:pPr>
      <w:r w:rsidRPr="001C3403">
        <w:rPr>
          <w:bCs/>
          <w:szCs w:val="24"/>
        </w:rPr>
        <w:t xml:space="preserve">Ethics of </w:t>
      </w:r>
      <w:r>
        <w:rPr>
          <w:bCs/>
          <w:szCs w:val="24"/>
        </w:rPr>
        <w:t>C</w:t>
      </w:r>
      <w:r w:rsidRPr="001C3403">
        <w:rPr>
          <w:bCs/>
          <w:szCs w:val="24"/>
        </w:rPr>
        <w:t>are</w:t>
      </w:r>
    </w:p>
    <w:p w14:paraId="30867E9C" w14:textId="77777777" w:rsidR="00F02312" w:rsidRPr="00F02312" w:rsidRDefault="00F02312" w:rsidP="00F02312"/>
    <w:p w14:paraId="053147D5" w14:textId="117630D6" w:rsidR="00F02312" w:rsidRPr="0019005C" w:rsidRDefault="00F02312" w:rsidP="00F02312">
      <w:pPr>
        <w:spacing w:line="480" w:lineRule="auto"/>
        <w:jc w:val="both"/>
      </w:pPr>
      <w:r w:rsidRPr="0019005C">
        <w:t xml:space="preserve">Absent from </w:t>
      </w:r>
      <w:r>
        <w:t>the</w:t>
      </w:r>
      <w:r w:rsidRPr="0019005C">
        <w:t xml:space="preserve"> debate about aligning participation and protection is a much</w:t>
      </w:r>
      <w:r>
        <w:t>-</w:t>
      </w:r>
      <w:r w:rsidRPr="0019005C">
        <w:t>needed</w:t>
      </w:r>
      <w:r>
        <w:t xml:space="preserve"> focus on an</w:t>
      </w:r>
      <w:r w:rsidRPr="0019005C">
        <w:t xml:space="preserve"> ‘ethic of care’ underpin</w:t>
      </w:r>
      <w:r>
        <w:t>ning</w:t>
      </w:r>
      <w:r w:rsidRPr="0019005C">
        <w:t xml:space="preserve"> the WPS agenda. As states have clamoured to be seen to be rescuing women from </w:t>
      </w:r>
      <w:r>
        <w:t>CRSV</w:t>
      </w:r>
      <w:r w:rsidRPr="0019005C">
        <w:t xml:space="preserve"> in the early resolutions, and as they have recently clamoured to be seen to be rescuing women from Afghanistan, there is need for a feminist ethics to underpin the approach to protection taken </w:t>
      </w:r>
      <w:r w:rsidR="001E79F1">
        <w:t>in</w:t>
      </w:r>
      <w:r w:rsidRPr="0019005C">
        <w:t xml:space="preserve"> the promotion of women’s participation. Such ethics should not only disrupt the agent-victim binary, but drive a fundamental shift in how the agenda sees and understands gender</w:t>
      </w:r>
      <w:r w:rsidR="002F160C">
        <w:t>. Further, it should disrupt</w:t>
      </w:r>
      <w:r w:rsidRPr="0019005C">
        <w:t xml:space="preserve"> how it sees and understands its role in promulgating legal and political norms that reproduce gendered and racial hierarchies that mediate women’s lives.</w:t>
      </w:r>
      <w:r w:rsidR="001E79F1">
        <w:rPr>
          <w:rStyle w:val="FootnoteReference"/>
        </w:rPr>
        <w:footnoteReference w:id="134"/>
      </w:r>
      <w:r w:rsidRPr="0019005C">
        <w:t xml:space="preserve"> </w:t>
      </w:r>
      <w:r w:rsidR="3BB1B761">
        <w:t>In line with the growing feminist practice of re-writing ‘feminist judgements’ of international legal cases, an ethics of care enables ‘reflections on how the law might be transformed if women’s voices were listened to and their experiences taken seriously’.</w:t>
      </w:r>
      <w:r w:rsidR="006C362F">
        <w:rPr>
          <w:rStyle w:val="FootnoteReference"/>
        </w:rPr>
        <w:footnoteReference w:id="135"/>
      </w:r>
      <w:r w:rsidR="3BB1B761">
        <w:t xml:space="preserve"> One of the greatest lessons from feminist benches assessing the implementation of international law, is that methodologies matter – a gender responsive approach in law and policy towards empirical realities, rather than simply adding women and their experiences to legal processes makes a difference.</w:t>
      </w:r>
      <w:r w:rsidR="009311E9">
        <w:rPr>
          <w:rStyle w:val="FootnoteReference"/>
        </w:rPr>
        <w:footnoteReference w:id="136"/>
      </w:r>
      <w:r w:rsidR="3BB1B761">
        <w:t xml:space="preserve"> In respect to WPS, </w:t>
      </w:r>
      <w:r w:rsidR="3BB1B761">
        <w:lastRenderedPageBreak/>
        <w:t>as has been shown by feminists across the world, adding women to the established ways of doing things at the UNSC has not resulted in feminist, nor particularly transformative gendered approaches to peace and security. It is methodological approaches that centre ethics of protection and risk that will matter for the agenda, and the concurrent implementation of these pillars, going forward.</w:t>
      </w:r>
    </w:p>
    <w:p w14:paraId="0968A662" w14:textId="566E242A" w:rsidR="009311E9" w:rsidRPr="0019005C" w:rsidRDefault="00F02312" w:rsidP="009311E9">
      <w:pPr>
        <w:spacing w:line="480" w:lineRule="auto"/>
        <w:ind w:firstLine="720"/>
        <w:jc w:val="both"/>
      </w:pPr>
      <w:r w:rsidRPr="0019005C">
        <w:t xml:space="preserve">Protection is not just about addressing the visceral presence of physical violence and risk, but about understanding the conditions in which women are expected to ‘participate’ – who sets the rules of the game in the spaces in which they are expected to lead. In reality, spaces </w:t>
      </w:r>
      <w:r w:rsidR="00236453">
        <w:t>such as</w:t>
      </w:r>
      <w:r w:rsidRPr="0019005C">
        <w:t xml:space="preserve"> peace negotiations and their implementation are operating in and through exclusionary structures</w:t>
      </w:r>
      <w:r w:rsidR="00FB7684">
        <w:t xml:space="preserve">. These </w:t>
      </w:r>
      <w:r w:rsidRPr="0019005C">
        <w:t>involve</w:t>
      </w:r>
      <w:r w:rsidR="00FB7684">
        <w:t xml:space="preserve"> a</w:t>
      </w:r>
      <w:r w:rsidRPr="0019005C">
        <w:t xml:space="preserve"> </w:t>
      </w:r>
      <w:r w:rsidR="00236453">
        <w:t>‘</w:t>
      </w:r>
      <w:r w:rsidRPr="0019005C">
        <w:t>complex webs of actors</w:t>
      </w:r>
      <w:r w:rsidR="00236453">
        <w:t>’</w:t>
      </w:r>
      <w:r w:rsidRPr="0019005C">
        <w:t>, incentives and bartering around contestation for political power over protracted periods.</w:t>
      </w:r>
      <w:r w:rsidR="00236453">
        <w:rPr>
          <w:rStyle w:val="FootnoteReference"/>
        </w:rPr>
        <w:footnoteReference w:id="137"/>
      </w:r>
      <w:r w:rsidRPr="0019005C">
        <w:t xml:space="preserve"> </w:t>
      </w:r>
      <w:r w:rsidR="00236453">
        <w:t>Further, t</w:t>
      </w:r>
      <w:r w:rsidRPr="0019005C">
        <w:t>he ‘right’ to participation comes up against the need for ‘efficiency’ approaches that aim to justify women’s participation to elite actors.</w:t>
      </w:r>
      <w:r w:rsidR="00236453">
        <w:rPr>
          <w:rStyle w:val="FootnoteReference"/>
        </w:rPr>
        <w:footnoteReference w:id="138"/>
      </w:r>
      <w:r w:rsidRPr="0019005C">
        <w:t xml:space="preserve"> Women’s participation becomes a once-off participation moment that operates as a form of deference to power</w:t>
      </w:r>
      <w:r w:rsidR="00FB7684">
        <w:t>,</w:t>
      </w:r>
      <w:r w:rsidRPr="0019005C">
        <w:t xml:space="preserve"> rather than a fundamental shift in how governance, power and inclusion is constructed. Where participation is determined on terms set by the UNSC, rather than those of women themselves, significant ethical questions arise</w:t>
      </w:r>
      <w:r w:rsidR="00FB7684">
        <w:t xml:space="preserve">. In particular   </w:t>
      </w:r>
      <w:proofErr w:type="gramStart"/>
      <w:r w:rsidR="00FB7684">
        <w:t xml:space="preserve">a </w:t>
      </w:r>
      <w:r w:rsidRPr="0019005C">
        <w:t xml:space="preserve"> </w:t>
      </w:r>
      <w:r w:rsidRPr="3BB1B761">
        <w:rPr>
          <w:i/>
          <w:iCs/>
        </w:rPr>
        <w:t>responsibility</w:t>
      </w:r>
      <w:proofErr w:type="gramEnd"/>
      <w:r w:rsidRPr="0019005C">
        <w:t xml:space="preserve"> of care (rather than </w:t>
      </w:r>
      <w:r>
        <w:t xml:space="preserve">a </w:t>
      </w:r>
      <w:r w:rsidRPr="0019005C">
        <w:t>paternalist</w:t>
      </w:r>
      <w:r>
        <w:t>ic approach to</w:t>
      </w:r>
      <w:r w:rsidRPr="0019005C">
        <w:t xml:space="preserve"> care)</w:t>
      </w:r>
      <w:r w:rsidR="00FB7684">
        <w:t>,</w:t>
      </w:r>
      <w:r w:rsidRPr="0019005C">
        <w:t xml:space="preserve"> must be shown not only to those who do cho</w:t>
      </w:r>
      <w:r>
        <w:t>o</w:t>
      </w:r>
      <w:r w:rsidRPr="0019005C">
        <w:t xml:space="preserve">se to participate, </w:t>
      </w:r>
      <w:r>
        <w:t xml:space="preserve">and </w:t>
      </w:r>
      <w:r w:rsidRPr="0019005C">
        <w:t>who are exposed to physical and reputational risk</w:t>
      </w:r>
      <w:r>
        <w:t xml:space="preserve"> as a result</w:t>
      </w:r>
      <w:r w:rsidRPr="0019005C">
        <w:t xml:space="preserve">, but also </w:t>
      </w:r>
      <w:r w:rsidR="006F5908">
        <w:t xml:space="preserve">to </w:t>
      </w:r>
      <w:r w:rsidRPr="0019005C">
        <w:t xml:space="preserve">those who are </w:t>
      </w:r>
      <w:r w:rsidRPr="3BB1B761">
        <w:rPr>
          <w:i/>
          <w:iCs/>
        </w:rPr>
        <w:t>not</w:t>
      </w:r>
      <w:r w:rsidRPr="0019005C">
        <w:t xml:space="preserve"> </w:t>
      </w:r>
      <w:r w:rsidRPr="3BB1B761">
        <w:rPr>
          <w:i/>
          <w:iCs/>
        </w:rPr>
        <w:t>invited</w:t>
      </w:r>
      <w:r w:rsidRPr="0019005C">
        <w:t>.</w:t>
      </w:r>
      <w:r w:rsidR="00236453">
        <w:rPr>
          <w:rStyle w:val="FootnoteReference"/>
        </w:rPr>
        <w:footnoteReference w:id="139"/>
      </w:r>
      <w:r w:rsidRPr="0019005C">
        <w:t xml:space="preserve"> If taken to its logical conclusion, will distinctions be drawn as to the type of </w:t>
      </w:r>
      <w:r w:rsidRPr="0019005C">
        <w:lastRenderedPageBreak/>
        <w:t xml:space="preserve">women who is deemed worthy of protection? And will this limit the scope </w:t>
      </w:r>
      <w:proofErr w:type="gramStart"/>
      <w:r w:rsidRPr="0019005C">
        <w:t>of  the</w:t>
      </w:r>
      <w:proofErr w:type="gramEnd"/>
      <w:r w:rsidRPr="0019005C">
        <w:t xml:space="preserve"> UNSC’s responsibilities </w:t>
      </w:r>
      <w:r>
        <w:t xml:space="preserve">in terms of protection </w:t>
      </w:r>
      <w:r w:rsidRPr="0019005C">
        <w:t>?</w:t>
      </w:r>
    </w:p>
    <w:p w14:paraId="06CF055C" w14:textId="64D06E41" w:rsidR="00F02312" w:rsidRPr="0019005C" w:rsidRDefault="00422824" w:rsidP="00F02312">
      <w:pPr>
        <w:spacing w:line="480" w:lineRule="auto"/>
        <w:ind w:firstLine="720"/>
        <w:jc w:val="both"/>
      </w:pPr>
      <w:r>
        <w:t>Of additional concern ar</w:t>
      </w:r>
      <w:r w:rsidR="00F02312" w:rsidRPr="0019005C">
        <w:t xml:space="preserve">e the ethics of continuing to push women to participate in systems where they are faced with an expectation that they will be able to bring about </w:t>
      </w:r>
      <w:r w:rsidR="00F02312">
        <w:t>‘</w:t>
      </w:r>
      <w:r w:rsidR="00F02312" w:rsidRPr="0019005C">
        <w:t>gender equality</w:t>
      </w:r>
      <w:r w:rsidR="00F02312">
        <w:t>’</w:t>
      </w:r>
      <w:r>
        <w:t xml:space="preserve"> and even ‘protection’ for other women</w:t>
      </w:r>
      <w:r w:rsidR="005D0222">
        <w:t>, simply by their very presence and</w:t>
      </w:r>
      <w:r w:rsidR="00F02312" w:rsidRPr="0019005C">
        <w:t xml:space="preserve"> participation. </w:t>
      </w:r>
      <w:r w:rsidR="00F02312">
        <w:t>W</w:t>
      </w:r>
      <w:r w:rsidR="00F02312" w:rsidRPr="0019005C">
        <w:t xml:space="preserve">omen’s </w:t>
      </w:r>
      <w:r w:rsidR="00F02312">
        <w:t>participation</w:t>
      </w:r>
      <w:r w:rsidR="00F02312" w:rsidRPr="0019005C">
        <w:t xml:space="preserve"> has come to be equated with agency. </w:t>
      </w:r>
      <w:proofErr w:type="gramStart"/>
      <w:r w:rsidR="00F02312" w:rsidRPr="0019005C">
        <w:t>Yet</w:t>
      </w:r>
      <w:r w:rsidR="00F02312">
        <w:t xml:space="preserve">  a</w:t>
      </w:r>
      <w:r w:rsidR="00F02312" w:rsidRPr="0019005C">
        <w:t>s</w:t>
      </w:r>
      <w:proofErr w:type="gramEnd"/>
      <w:r w:rsidR="00F02312" w:rsidRPr="0019005C">
        <w:t xml:space="preserve"> Shepherd notes, </w:t>
      </w:r>
      <w:r>
        <w:t>‘</w:t>
      </w:r>
      <w:r w:rsidR="00F02312" w:rsidRPr="0019005C">
        <w:t>the definitive conceptual component of agency is the achievement of change, whereas action presumes no such transformation</w:t>
      </w:r>
      <w:r>
        <w:t>’</w:t>
      </w:r>
      <w:r w:rsidR="00F02312" w:rsidRPr="0019005C">
        <w:t>.</w:t>
      </w:r>
      <w:r>
        <w:rPr>
          <w:rStyle w:val="FootnoteReference"/>
        </w:rPr>
        <w:footnoteReference w:id="140"/>
      </w:r>
      <w:r w:rsidR="00F02312" w:rsidRPr="0019005C">
        <w:t xml:space="preserve">  There are significant (infra)structural inhibitors that prevent women who participate in public life from achieving these goals, thereby negating that agency.</w:t>
      </w:r>
      <w:r>
        <w:rPr>
          <w:rStyle w:val="FootnoteReference"/>
        </w:rPr>
        <w:footnoteReference w:id="141"/>
      </w:r>
      <w:r w:rsidR="00F02312" w:rsidRPr="0019005C">
        <w:t xml:space="preserve"> What impact does this have on women themselves? </w:t>
      </w:r>
      <w:r w:rsidR="005D0222">
        <w:t>Do those actors pushing women’s participation</w:t>
      </w:r>
      <w:r w:rsidR="006F5908">
        <w:t xml:space="preserve"> </w:t>
      </w:r>
      <w:r w:rsidR="005D0222">
        <w:t xml:space="preserve">recognise or centre an ethics of care, within that work? </w:t>
      </w:r>
    </w:p>
    <w:p w14:paraId="6BACA87B" w14:textId="258A814F" w:rsidR="00F02312" w:rsidRDefault="00F02312" w:rsidP="00F02312">
      <w:pPr>
        <w:spacing w:line="480" w:lineRule="auto"/>
        <w:ind w:firstLine="720"/>
        <w:jc w:val="both"/>
      </w:pPr>
      <w:r w:rsidRPr="0019005C">
        <w:t>The participation pillar of WPS has been considered by many as the one with the most potential for real transformation in gender inequalities.</w:t>
      </w:r>
      <w:r w:rsidR="00422824">
        <w:rPr>
          <w:rStyle w:val="FootnoteReference"/>
        </w:rPr>
        <w:footnoteReference w:id="142"/>
      </w:r>
      <w:r w:rsidRPr="0019005C">
        <w:t xml:space="preserve">  Securitised</w:t>
      </w:r>
      <w:r w:rsidR="005D0222">
        <w:t xml:space="preserve">, </w:t>
      </w:r>
      <w:r w:rsidRPr="0019005C">
        <w:t xml:space="preserve">paternalistic </w:t>
      </w:r>
      <w:r w:rsidR="005D0222">
        <w:t xml:space="preserve">and unethical </w:t>
      </w:r>
      <w:r w:rsidRPr="0019005C">
        <w:t xml:space="preserve">approaches to protection risks will not achieve this. The limitations of law and of the UNSC’s mandate, and how far it will be willing to go in expanding the normative confines of both pillars, is a central ethical concern. </w:t>
      </w:r>
    </w:p>
    <w:p w14:paraId="1A5EAC38" w14:textId="77777777" w:rsidR="00F02312" w:rsidRDefault="00F02312" w:rsidP="004D0538">
      <w:pPr>
        <w:spacing w:line="360" w:lineRule="auto"/>
        <w:jc w:val="both"/>
      </w:pPr>
    </w:p>
    <w:p w14:paraId="36831C5F" w14:textId="77777777" w:rsidR="00EC4E48" w:rsidRDefault="00EC4E48" w:rsidP="00EC4828">
      <w:pPr>
        <w:spacing w:line="360" w:lineRule="auto"/>
        <w:ind w:firstLine="360"/>
        <w:jc w:val="both"/>
      </w:pPr>
    </w:p>
    <w:p w14:paraId="00000039" w14:textId="6D10A411" w:rsidR="00E77C08" w:rsidRDefault="00127202" w:rsidP="00127202">
      <w:pPr>
        <w:pStyle w:val="Heading1"/>
        <w:numPr>
          <w:ilvl w:val="0"/>
          <w:numId w:val="5"/>
        </w:numPr>
      </w:pPr>
      <w:r>
        <w:t>CONCLUSION</w:t>
      </w:r>
    </w:p>
    <w:p w14:paraId="0000003F" w14:textId="77777777" w:rsidR="00E77C08" w:rsidRDefault="00E77C08">
      <w:pPr>
        <w:spacing w:line="480" w:lineRule="auto"/>
        <w:rPr>
          <w:b/>
        </w:rPr>
      </w:pPr>
    </w:p>
    <w:p w14:paraId="43C0D630" w14:textId="7F9E33DA" w:rsidR="00336201" w:rsidRPr="0019005C" w:rsidRDefault="3BB1B761" w:rsidP="00336201">
      <w:pPr>
        <w:spacing w:line="480" w:lineRule="auto"/>
        <w:jc w:val="both"/>
      </w:pPr>
      <w:r>
        <w:t xml:space="preserve">Examining these two pillars in relation to one another has revealed much about the distinctive characteristics of participation and protection in WPS. The advancement of each pillar along </w:t>
      </w:r>
      <w:r>
        <w:lastRenderedPageBreak/>
        <w:t>parallel trajectories has meant that importantly, each has been subject to normative growth over time. It has also however shown that the normative trajectory has been confined to de-limited ideas of what each pillar would or could encompass during that time. The analysis in this paper has identified the ways that the inter-relationship between participation and protection has been acknowledged to date, indicating an emerging and nascent engagement. It has also identified the inherent risks that arise if assumptions are made about the simple melding of these two pillars into a conjoined idea of ‘participation-protection’.</w:t>
      </w:r>
    </w:p>
    <w:p w14:paraId="57E5B5F2" w14:textId="6891C25D" w:rsidR="00336201" w:rsidRDefault="00336201" w:rsidP="00336201">
      <w:pPr>
        <w:spacing w:line="480" w:lineRule="auto"/>
        <w:ind w:firstLine="720"/>
        <w:jc w:val="both"/>
      </w:pPr>
      <w:r w:rsidRPr="0019005C">
        <w:t xml:space="preserve">A new WPS binary of participation-protection must not emerge. Nor should an expanded understanding of each pillar and their inter-relation be </w:t>
      </w:r>
      <w:r w:rsidR="00147EE7">
        <w:t xml:space="preserve">determined by a comparative off-setting of one against </w:t>
      </w:r>
      <w:r w:rsidRPr="0019005C">
        <w:t>the other</w:t>
      </w:r>
      <w:r w:rsidR="00147EE7">
        <w:t>. N</w:t>
      </w:r>
      <w:r w:rsidRPr="0019005C">
        <w:t>amely</w:t>
      </w:r>
      <w:r w:rsidR="00147EE7">
        <w:t>, the balancing of</w:t>
      </w:r>
      <w:r w:rsidRPr="0019005C">
        <w:t xml:space="preserve"> the agentic on one hand, and victim-oriented and protectionist on the other, </w:t>
      </w:r>
      <w:r w:rsidR="00147EE7">
        <w:t>should be avoided, as should a</w:t>
      </w:r>
      <w:r w:rsidRPr="0019005C">
        <w:t>n accompanying assumption made as to their complementary. Rather bringing these two pillars together should reflect and address the power found in a complex understanding of how gender inequalities, risk and barriers impact any potential progress on advancing women’s participation</w:t>
      </w:r>
      <w:r w:rsidR="00A76CEE">
        <w:t xml:space="preserve">, </w:t>
      </w:r>
      <w:r w:rsidRPr="0019005C">
        <w:t xml:space="preserve">leadership </w:t>
      </w:r>
      <w:r w:rsidR="00A76CEE">
        <w:t xml:space="preserve">and freedoms </w:t>
      </w:r>
      <w:r w:rsidRPr="0019005C">
        <w:t xml:space="preserve">in peace and security under this agenda. </w:t>
      </w:r>
    </w:p>
    <w:p w14:paraId="192B1A2E" w14:textId="1A64DE14" w:rsidR="004D0538" w:rsidRDefault="004D0538" w:rsidP="009444DD">
      <w:pPr>
        <w:spacing w:line="480" w:lineRule="auto"/>
        <w:ind w:firstLine="720"/>
        <w:jc w:val="both"/>
      </w:pPr>
      <w:r>
        <w:t xml:space="preserve">How </w:t>
      </w:r>
      <w:r w:rsidR="00357B0E">
        <w:t xml:space="preserve">would these and the </w:t>
      </w:r>
      <w:r>
        <w:t>critical considerations</w:t>
      </w:r>
      <w:r w:rsidR="00357B0E">
        <w:t xml:space="preserve"> outlined above</w:t>
      </w:r>
      <w:r>
        <w:t xml:space="preserve"> inform any future cross-pillar engagement by the UNSC?  </w:t>
      </w:r>
      <w:r w:rsidRPr="001252C7">
        <w:t>We have some clues</w:t>
      </w:r>
      <w:r>
        <w:t xml:space="preserve"> to begin with</w:t>
      </w:r>
      <w:r w:rsidRPr="001252C7">
        <w:t>.</w:t>
      </w:r>
      <w:r>
        <w:t xml:space="preserve"> UNSCR 2467 references a ‘</w:t>
      </w:r>
      <w:r w:rsidRPr="0099440F">
        <w:t>continuum of interrelated and recurring forms of violence against women and girls</w:t>
      </w:r>
      <w:r>
        <w:t>’ and is significant as a basis from which its recognition of the ‘mutually reinforcing’ relationship between participation and protection can be advanced.</w:t>
      </w:r>
      <w:r w:rsidRPr="00422824">
        <w:rPr>
          <w:rStyle w:val="FootnoteReference"/>
        </w:rPr>
        <w:t xml:space="preserve"> </w:t>
      </w:r>
      <w:r>
        <w:rPr>
          <w:rStyle w:val="FootnoteReference"/>
        </w:rPr>
        <w:footnoteReference w:id="143"/>
      </w:r>
      <w:r w:rsidRPr="00AE19F7">
        <w:t xml:space="preserve"> </w:t>
      </w:r>
      <w:r>
        <w:t>R</w:t>
      </w:r>
      <w:r w:rsidRPr="001252C7">
        <w:t>ecent country-specific resolutions</w:t>
      </w:r>
      <w:r>
        <w:rPr>
          <w:rStyle w:val="FootnoteReference"/>
        </w:rPr>
        <w:footnoteReference w:id="144"/>
      </w:r>
      <w:r w:rsidRPr="001252C7">
        <w:t xml:space="preserve"> </w:t>
      </w:r>
      <w:r>
        <w:t xml:space="preserve">such as </w:t>
      </w:r>
      <w:r w:rsidRPr="001252C7">
        <w:t xml:space="preserve">UNSCR 2542 on Libya, recognises </w:t>
      </w:r>
      <w:r>
        <w:t>‘</w:t>
      </w:r>
      <w:r w:rsidRPr="001252C7">
        <w:t xml:space="preserve">the need to protect women’s rights organisations, and women </w:t>
      </w:r>
      <w:r w:rsidRPr="001252C7">
        <w:lastRenderedPageBreak/>
        <w:t>peacebuilders from threats and reprisals</w:t>
      </w:r>
      <w:r>
        <w:t>’</w:t>
      </w:r>
      <w:r w:rsidRPr="001252C7">
        <w:t>.</w:t>
      </w:r>
      <w:r>
        <w:rPr>
          <w:rStyle w:val="FootnoteReference"/>
        </w:rPr>
        <w:footnoteReference w:id="145"/>
      </w:r>
      <w:r w:rsidRPr="00D81C5D">
        <w:t xml:space="preserve"> However the language here needs to move from preambular into operative paragraphs .</w:t>
      </w:r>
      <w:r>
        <w:t xml:space="preserve"> </w:t>
      </w:r>
      <w:r w:rsidRPr="00087C9F">
        <w:t>While UNSCR 2467 does ‘</w:t>
      </w:r>
      <w:r>
        <w:t>condemn acts of discrimination, harassment and violence</w:t>
      </w:r>
      <w:r w:rsidR="00716635">
        <w:t>’</w:t>
      </w:r>
      <w:r>
        <w:rPr>
          <w:rStyle w:val="FootnoteReference"/>
        </w:rPr>
        <w:footnoteReference w:id="146"/>
      </w:r>
      <w:r w:rsidRPr="3BB1B761">
        <w:t xml:space="preserve"> it needs to go further than simply recognising the need to protect, or the mutual relationship between the pillars, to action-verb commitments to tackling the </w:t>
      </w:r>
      <w:r w:rsidRPr="3BB1B761">
        <w:rPr>
          <w:i/>
          <w:iCs/>
        </w:rPr>
        <w:t>barriers</w:t>
      </w:r>
      <w:r w:rsidR="00BC3596">
        <w:rPr>
          <w:i/>
          <w:iCs/>
        </w:rPr>
        <w:t>,</w:t>
      </w:r>
      <w:r>
        <w:rPr>
          <w:rStyle w:val="FootnoteReference"/>
        </w:rPr>
        <w:footnoteReference w:id="147"/>
      </w:r>
      <w:r w:rsidR="001F17A1">
        <w:t xml:space="preserve">a proactive framing of language getting at the root causes of exclusion.  </w:t>
      </w:r>
      <w:r w:rsidR="00716635">
        <w:t>A</w:t>
      </w:r>
      <w:r w:rsidR="001F17A1">
        <w:t xml:space="preserve">ny future provisions must be operative and must use action-verbs in which the UNSC ‘requires’ and ‘decides’ on actions. There are three </w:t>
      </w:r>
      <w:r w:rsidR="00716635">
        <w:t xml:space="preserve">main </w:t>
      </w:r>
      <w:r w:rsidR="001F17A1">
        <w:t>factors to consider</w:t>
      </w:r>
      <w:r w:rsidR="00D100C9">
        <w:t xml:space="preserve"> in any moves towards normatively addressing the inter-pillar relationship between participation and protection</w:t>
      </w:r>
      <w:r w:rsidR="001F17A1">
        <w:t xml:space="preserve">. First, </w:t>
      </w:r>
      <w:r w:rsidR="00716635">
        <w:t>language and commitments</w:t>
      </w:r>
      <w:r w:rsidR="001F17A1">
        <w:t xml:space="preserve"> should establish dual-pronged approaches </w:t>
      </w:r>
      <w:r w:rsidR="00716635">
        <w:t>that concurrently</w:t>
      </w:r>
      <w:r w:rsidR="001F17A1">
        <w:t xml:space="preserve"> ensur</w:t>
      </w:r>
      <w:r w:rsidR="00716635">
        <w:t>e</w:t>
      </w:r>
      <w:r w:rsidR="001F17A1">
        <w:t xml:space="preserve"> women’s physical safety</w:t>
      </w:r>
      <w:r w:rsidR="00716635">
        <w:t>,</w:t>
      </w:r>
      <w:r w:rsidR="001F17A1">
        <w:t xml:space="preserve"> while</w:t>
      </w:r>
      <w:r w:rsidR="00716635">
        <w:t xml:space="preserve"> also</w:t>
      </w:r>
      <w:r w:rsidR="001F17A1">
        <w:t xml:space="preserve"> tackling the structural </w:t>
      </w:r>
      <w:r>
        <w:t xml:space="preserve">gendered </w:t>
      </w:r>
      <w:r w:rsidR="001F17A1">
        <w:t>barriers and risks to participation. Second</w:t>
      </w:r>
      <w:r w:rsidR="00AD5C32">
        <w:t>,</w:t>
      </w:r>
      <w:r w:rsidR="001F17A1">
        <w:t xml:space="preserve"> there is a need to</w:t>
      </w:r>
      <w:r w:rsidR="00AD5C32">
        <w:t xml:space="preserve"> </w:t>
      </w:r>
      <w:r w:rsidR="001F17A1">
        <w:t xml:space="preserve">create enabling environments by ensuring practical access-related barriers and structural-related barriers are </w:t>
      </w:r>
      <w:r>
        <w:t xml:space="preserve">concurrently </w:t>
      </w:r>
      <w:r w:rsidR="001F17A1">
        <w:t>redressed</w:t>
      </w:r>
      <w:r w:rsidR="00716635">
        <w:t xml:space="preserve"> as a priority in efforts to advance women’s participation</w:t>
      </w:r>
      <w:r w:rsidR="001F17A1">
        <w:t>. Finally, the approach needs to engag</w:t>
      </w:r>
      <w:r>
        <w:t>e directly with</w:t>
      </w:r>
      <w:r w:rsidR="001F17A1">
        <w:t xml:space="preserve"> the ‘grey zone’ in which the promotion of participation places women</w:t>
      </w:r>
      <w:r w:rsidR="009444DD">
        <w:t xml:space="preserve"> in</w:t>
      </w:r>
      <w:r w:rsidR="001F17A1">
        <w:t xml:space="preserve">. This includes dynamics such as the risks </w:t>
      </w:r>
      <w:r w:rsidR="009444DD">
        <w:t>associated with navigating peacebuilding roles, wherein the feminine stereotype of women as peaceful is supposed to protect them as they are expected to lead engaging with violent protagonists, without legal or practical protection</w:t>
      </w:r>
      <w:r w:rsidR="00716635">
        <w:t>.</w:t>
      </w:r>
      <w:r>
        <w:rPr>
          <w:rStyle w:val="FootnoteReference"/>
        </w:rPr>
        <w:footnoteReference w:id="148"/>
      </w:r>
      <w:r w:rsidR="001F17A1">
        <w:t xml:space="preserve">  The emphasis </w:t>
      </w:r>
      <w:r>
        <w:t>should</w:t>
      </w:r>
      <w:r w:rsidR="001F17A1">
        <w:t xml:space="preserve"> not </w:t>
      </w:r>
      <w:r>
        <w:t xml:space="preserve">be </w:t>
      </w:r>
      <w:r w:rsidR="001F17A1">
        <w:t>on ‘women’s work</w:t>
      </w:r>
      <w:r>
        <w:t>,</w:t>
      </w:r>
      <w:r w:rsidR="3BB1B761">
        <w:t>’ but on taking decisive action that fulfils the right for women to safely contribute to decision-making, whatever their identities or political standpoints.</w:t>
      </w:r>
    </w:p>
    <w:p w14:paraId="2281F2D6" w14:textId="402282CA" w:rsidR="00336201" w:rsidRPr="0019005C" w:rsidRDefault="00336201" w:rsidP="00F5256A">
      <w:pPr>
        <w:spacing w:line="480" w:lineRule="auto"/>
        <w:ind w:firstLine="720"/>
        <w:jc w:val="both"/>
      </w:pPr>
      <w:r w:rsidRPr="0019005C">
        <w:t>The opportunities that exist in the interconnections between these two pillars represent</w:t>
      </w:r>
      <w:r w:rsidR="00C262BE">
        <w:t xml:space="preserve">s </w:t>
      </w:r>
      <w:r w:rsidRPr="0019005C">
        <w:t xml:space="preserve">the crux upon which future directions of the agenda rest.  It is worth remembering that </w:t>
      </w:r>
      <w:r w:rsidR="009444DD">
        <w:t xml:space="preserve">the </w:t>
      </w:r>
      <w:r w:rsidRPr="0019005C">
        <w:t xml:space="preserve">promotion </w:t>
      </w:r>
      <w:r w:rsidRPr="0019005C">
        <w:lastRenderedPageBreak/>
        <w:t>of women’s participation has evolved as a norm in response to normative exclusions, such as the exclusion of women from peace processes</w:t>
      </w:r>
      <w:r w:rsidR="009444DD">
        <w:t>. I</w:t>
      </w:r>
      <w:r w:rsidR="003C5322">
        <w:t>f</w:t>
      </w:r>
      <w:r w:rsidRPr="0019005C">
        <w:t xml:space="preserve"> </w:t>
      </w:r>
      <w:r w:rsidR="00C22D28">
        <w:t>‘</w:t>
      </w:r>
      <w:r w:rsidRPr="0019005C">
        <w:t>understood as a canary in a coal mine</w:t>
      </w:r>
      <w:r w:rsidR="003C5322">
        <w:t>,</w:t>
      </w:r>
      <w:r w:rsidR="00C22D28">
        <w:t>’</w:t>
      </w:r>
      <w:r w:rsidR="00C22D28">
        <w:rPr>
          <w:rStyle w:val="FootnoteReference"/>
        </w:rPr>
        <w:footnoteReference w:id="149"/>
      </w:r>
      <w:r w:rsidR="009444DD">
        <w:t xml:space="preserve"> </w:t>
      </w:r>
      <w:r w:rsidR="003C5322" w:rsidRPr="0019005C">
        <w:t xml:space="preserve">then the protection risks that arise for women </w:t>
      </w:r>
      <w:r w:rsidR="003C5322">
        <w:t xml:space="preserve">in peace </w:t>
      </w:r>
      <w:r w:rsidR="003C5322" w:rsidRPr="0019005C">
        <w:t>processes is equally a signal</w:t>
      </w:r>
      <w:r w:rsidR="003C5322">
        <w:t>-</w:t>
      </w:r>
      <w:r w:rsidR="003C5322" w:rsidRPr="0019005C">
        <w:t>fire of the depth and range of protection risks that arise for women across all aspects of peace and security, including within the UNSC itself and in its peacekeeping operations.</w:t>
      </w:r>
      <w:r w:rsidR="00F5256A">
        <w:t xml:space="preserve"> </w:t>
      </w:r>
      <w:r w:rsidRPr="0019005C">
        <w:t>The nascent and emerging evidence of the protection risks facing women leaders is simply indicative at this point of the much deeper violence, intimidation and exclusion tactics being used by elites and other actors who assume leadership is their entitlement in conflict and post-conflict contexts. Women should not have to lead with their victimisation in order to achieve the rights that are purportedly available to them, in this case, the right to participate in public life.</w:t>
      </w:r>
      <w:r w:rsidRPr="0019005C">
        <w:rPr>
          <w:vertAlign w:val="superscript"/>
        </w:rPr>
        <w:t xml:space="preserve">  </w:t>
      </w:r>
      <w:r w:rsidRPr="0019005C">
        <w:t xml:space="preserve">That the </w:t>
      </w:r>
      <w:r w:rsidR="00C22D28">
        <w:t>‘</w:t>
      </w:r>
      <w:r w:rsidRPr="0019005C">
        <w:t>woman in conflict</w:t>
      </w:r>
      <w:r w:rsidR="00C22D28">
        <w:t>’</w:t>
      </w:r>
      <w:r w:rsidR="00C22D28">
        <w:rPr>
          <w:rStyle w:val="FootnoteReference"/>
        </w:rPr>
        <w:footnoteReference w:id="150"/>
      </w:r>
      <w:r w:rsidRPr="0019005C">
        <w:t xml:space="preserve"> </w:t>
      </w:r>
      <w:r w:rsidR="00C22D28">
        <w:t>‘</w:t>
      </w:r>
      <w:r w:rsidRPr="0019005C">
        <w:t>has had the worst happen to her</w:t>
      </w:r>
      <w:r w:rsidR="00C22D28">
        <w:t>’</w:t>
      </w:r>
      <w:r w:rsidR="00C22D28">
        <w:rPr>
          <w:rStyle w:val="FootnoteReference"/>
        </w:rPr>
        <w:footnoteReference w:id="151"/>
      </w:r>
      <w:r w:rsidR="00C22D28">
        <w:t xml:space="preserve"> </w:t>
      </w:r>
      <w:r w:rsidRPr="0019005C">
        <w:t xml:space="preserve">should not be </w:t>
      </w:r>
      <w:r w:rsidR="00357B0E">
        <w:t>needed</w:t>
      </w:r>
      <w:r w:rsidRPr="0019005C">
        <w:t xml:space="preserve"> here</w:t>
      </w:r>
      <w:r w:rsidR="00C22D28">
        <w:t xml:space="preserve"> to draw our attention</w:t>
      </w:r>
      <w:r w:rsidRPr="0019005C">
        <w:t>. By not addressing the participation-protection nexus</w:t>
      </w:r>
      <w:r w:rsidR="00C22D28">
        <w:t xml:space="preserve">, </w:t>
      </w:r>
      <w:r w:rsidRPr="0019005C">
        <w:t xml:space="preserve">WPS fails to engage a key gap in women’s rights in conflict. By addressing it however, there also presents perils that we know already exist within the agenda itself. Rather than a focus on women, on experiences of violence or risk, it is </w:t>
      </w:r>
      <w:r w:rsidR="00C22D28">
        <w:t>‘</w:t>
      </w:r>
      <w:r w:rsidRPr="0019005C">
        <w:t>the conditions for exercising a righ</w:t>
      </w:r>
      <w:r w:rsidR="00C22D28">
        <w:t>t’</w:t>
      </w:r>
      <w:r w:rsidRPr="0019005C">
        <w:t xml:space="preserve"> to which the WPS now needs to turn.</w:t>
      </w:r>
      <w:r w:rsidR="00C22D28">
        <w:rPr>
          <w:rStyle w:val="FootnoteReference"/>
        </w:rPr>
        <w:footnoteReference w:id="152"/>
      </w:r>
    </w:p>
    <w:p w14:paraId="0000005F" w14:textId="77777777" w:rsidR="00E77C08" w:rsidRDefault="00E77C08"/>
    <w:sectPr w:rsidR="00E77C08">
      <w:headerReference w:type="default" r:id="rId7"/>
      <w:footerReference w:type="even"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6EA12" w14:textId="77777777" w:rsidR="00734DFF" w:rsidRDefault="00734DFF">
      <w:r>
        <w:separator/>
      </w:r>
    </w:p>
  </w:endnote>
  <w:endnote w:type="continuationSeparator" w:id="0">
    <w:p w14:paraId="41B60CCA" w14:textId="77777777" w:rsidR="00734DFF" w:rsidRDefault="00734D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AdvPSNBAS">
    <w:altName w:val="Cambria"/>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icrosoft Uighur">
    <w:altName w:val="Arial"/>
    <w:panose1 w:val="02000000000000000000"/>
    <w:charset w:val="00"/>
    <w:family w:val="auto"/>
    <w:pitch w:val="variable"/>
    <w:sig w:usb0="80002023" w:usb1="80000002"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7DA1B" w14:textId="7DEC4E53" w:rsidR="0011027D" w:rsidRDefault="0011027D" w:rsidP="001535B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25459813" w14:textId="77777777" w:rsidR="0011027D" w:rsidRDefault="0011027D" w:rsidP="003F5D3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16619920"/>
      <w:docPartObj>
        <w:docPartGallery w:val="Page Numbers (Bottom of Page)"/>
        <w:docPartUnique/>
      </w:docPartObj>
    </w:sdtPr>
    <w:sdtEndPr>
      <w:rPr>
        <w:rStyle w:val="PageNumber"/>
        <w:sz w:val="20"/>
        <w:szCs w:val="20"/>
      </w:rPr>
    </w:sdtEndPr>
    <w:sdtContent>
      <w:p w14:paraId="15AE265D" w14:textId="57F5FE56" w:rsidR="0011027D" w:rsidRDefault="0011027D" w:rsidP="001535B3">
        <w:pPr>
          <w:pStyle w:val="Footer"/>
          <w:framePr w:wrap="none" w:vAnchor="text" w:hAnchor="margin" w:xAlign="right" w:y="1"/>
          <w:rPr>
            <w:rStyle w:val="PageNumber"/>
          </w:rPr>
        </w:pPr>
        <w:r w:rsidRPr="003F5D3D">
          <w:rPr>
            <w:rStyle w:val="PageNumber"/>
            <w:sz w:val="20"/>
            <w:szCs w:val="20"/>
          </w:rPr>
          <w:fldChar w:fldCharType="begin"/>
        </w:r>
        <w:r w:rsidRPr="003F5D3D">
          <w:rPr>
            <w:rStyle w:val="PageNumber"/>
            <w:sz w:val="20"/>
            <w:szCs w:val="20"/>
          </w:rPr>
          <w:instrText xml:space="preserve"> PAGE </w:instrText>
        </w:r>
        <w:r w:rsidRPr="003F5D3D">
          <w:rPr>
            <w:rStyle w:val="PageNumber"/>
            <w:sz w:val="20"/>
            <w:szCs w:val="20"/>
          </w:rPr>
          <w:fldChar w:fldCharType="separate"/>
        </w:r>
        <w:r w:rsidRPr="003F5D3D">
          <w:rPr>
            <w:rStyle w:val="PageNumber"/>
            <w:noProof/>
            <w:sz w:val="20"/>
            <w:szCs w:val="20"/>
          </w:rPr>
          <w:t>1</w:t>
        </w:r>
        <w:r w:rsidRPr="003F5D3D">
          <w:rPr>
            <w:rStyle w:val="PageNumber"/>
            <w:sz w:val="20"/>
            <w:szCs w:val="20"/>
          </w:rPr>
          <w:fldChar w:fldCharType="end"/>
        </w:r>
      </w:p>
    </w:sdtContent>
  </w:sdt>
  <w:p w14:paraId="7F7A6629" w14:textId="77777777" w:rsidR="0011027D" w:rsidRDefault="0011027D" w:rsidP="003F5D3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F0E29" w14:textId="77777777" w:rsidR="00734DFF" w:rsidRDefault="00734DFF">
      <w:r>
        <w:separator/>
      </w:r>
    </w:p>
  </w:footnote>
  <w:footnote w:type="continuationSeparator" w:id="0">
    <w:p w14:paraId="4835F261" w14:textId="77777777" w:rsidR="00734DFF" w:rsidRDefault="00734DFF">
      <w:r>
        <w:continuationSeparator/>
      </w:r>
    </w:p>
  </w:footnote>
  <w:footnote w:id="1">
    <w:p w14:paraId="00000073" w14:textId="6D17DCFE" w:rsidR="0011027D" w:rsidRPr="00B856DF" w:rsidRDefault="0011027D" w:rsidP="003F5D3D">
      <w:pPr>
        <w:jc w:val="both"/>
        <w:rPr>
          <w:sz w:val="20"/>
          <w:szCs w:val="20"/>
        </w:rPr>
      </w:pPr>
      <w:r w:rsidRPr="003F5D3D">
        <w:rPr>
          <w:sz w:val="20"/>
          <w:szCs w:val="20"/>
          <w:vertAlign w:val="superscript"/>
        </w:rPr>
        <w:footnoteRef/>
      </w:r>
      <w:r w:rsidRPr="003F5D3D">
        <w:rPr>
          <w:sz w:val="20"/>
          <w:szCs w:val="20"/>
        </w:rPr>
        <w:t xml:space="preserve"> </w:t>
      </w:r>
      <w:r w:rsidR="00B856DF">
        <w:rPr>
          <w:sz w:val="20"/>
          <w:szCs w:val="20"/>
        </w:rPr>
        <w:t xml:space="preserve">Melinda Holmes, </w:t>
      </w:r>
      <w:r w:rsidR="00B856DF">
        <w:rPr>
          <w:i/>
          <w:iCs/>
          <w:sz w:val="20"/>
          <w:szCs w:val="20"/>
        </w:rPr>
        <w:t xml:space="preserve">Protecting Women Peacebuilders: The Frontlines of Sustainable Peace. </w:t>
      </w:r>
      <w:r w:rsidR="00B856DF">
        <w:rPr>
          <w:sz w:val="20"/>
          <w:szCs w:val="20"/>
        </w:rPr>
        <w:t>(International Civil Society Action Network, Women’s Alliance for Security Leadership, and London School of Economics Centre for Women Peace and Security, 2020).</w:t>
      </w:r>
    </w:p>
  </w:footnote>
  <w:footnote w:id="2">
    <w:p w14:paraId="00000061" w14:textId="16C48737" w:rsidR="0011027D" w:rsidRPr="003F5D3D" w:rsidRDefault="0011027D" w:rsidP="00BF1E4B">
      <w:pPr>
        <w:jc w:val="both"/>
        <w:rPr>
          <w:sz w:val="20"/>
          <w:szCs w:val="20"/>
        </w:rPr>
      </w:pPr>
      <w:r w:rsidRPr="003F5D3D">
        <w:rPr>
          <w:sz w:val="20"/>
          <w:szCs w:val="20"/>
          <w:vertAlign w:val="superscript"/>
        </w:rPr>
        <w:footnoteRef/>
      </w:r>
      <w:r w:rsidRPr="003F5D3D">
        <w:rPr>
          <w:sz w:val="20"/>
          <w:szCs w:val="20"/>
        </w:rPr>
        <w:t xml:space="preserve"> </w:t>
      </w:r>
      <w:r w:rsidRPr="00BF1E4B">
        <w:rPr>
          <w:sz w:val="20"/>
          <w:szCs w:val="20"/>
        </w:rPr>
        <w:t>Security Council Report</w:t>
      </w:r>
      <w:r w:rsidR="00136BE8">
        <w:rPr>
          <w:sz w:val="20"/>
          <w:szCs w:val="20"/>
        </w:rPr>
        <w:t>,</w:t>
      </w:r>
      <w:r w:rsidRPr="00BF1E4B">
        <w:rPr>
          <w:sz w:val="20"/>
          <w:szCs w:val="20"/>
        </w:rPr>
        <w:t xml:space="preserve"> </w:t>
      </w:r>
      <w:proofErr w:type="spellStart"/>
      <w:r w:rsidRPr="00136BE8">
        <w:rPr>
          <w:i/>
          <w:iCs/>
          <w:sz w:val="20"/>
          <w:szCs w:val="20"/>
        </w:rPr>
        <w:t>Arria</w:t>
      </w:r>
      <w:proofErr w:type="spellEnd"/>
      <w:r w:rsidRPr="00136BE8">
        <w:rPr>
          <w:i/>
          <w:iCs/>
          <w:sz w:val="20"/>
          <w:szCs w:val="20"/>
        </w:rPr>
        <w:t>-formula Meeting on Reprisals against Women Human Rights Defenders and Women Peacebuilders</w:t>
      </w:r>
      <w:r>
        <w:rPr>
          <w:sz w:val="20"/>
          <w:szCs w:val="20"/>
        </w:rPr>
        <w:t xml:space="preserve"> (</w:t>
      </w:r>
      <w:r w:rsidRPr="00BF1E4B">
        <w:rPr>
          <w:sz w:val="20"/>
          <w:szCs w:val="20"/>
        </w:rPr>
        <w:t>20 February 2020</w:t>
      </w:r>
      <w:r>
        <w:rPr>
          <w:sz w:val="20"/>
          <w:szCs w:val="20"/>
        </w:rPr>
        <w:t>)</w:t>
      </w:r>
      <w:r w:rsidRPr="00BF1E4B">
        <w:rPr>
          <w:sz w:val="20"/>
          <w:szCs w:val="20"/>
        </w:rPr>
        <w:t>.</w:t>
      </w:r>
    </w:p>
  </w:footnote>
  <w:footnote w:id="3">
    <w:p w14:paraId="00000062" w14:textId="6886F8F5" w:rsidR="0011027D" w:rsidRPr="00BF1E4B" w:rsidRDefault="0011027D" w:rsidP="00BF1E4B">
      <w:pPr>
        <w:jc w:val="both"/>
        <w:rPr>
          <w:sz w:val="20"/>
          <w:szCs w:val="20"/>
        </w:rPr>
      </w:pPr>
      <w:r w:rsidRPr="003F5D3D">
        <w:rPr>
          <w:sz w:val="20"/>
          <w:szCs w:val="20"/>
          <w:vertAlign w:val="superscript"/>
        </w:rPr>
        <w:footnoteRef/>
      </w:r>
      <w:r w:rsidRPr="003F5D3D">
        <w:rPr>
          <w:sz w:val="20"/>
          <w:szCs w:val="20"/>
        </w:rPr>
        <w:t xml:space="preserve"> </w:t>
      </w:r>
      <w:r w:rsidRPr="00B856DF">
        <w:rPr>
          <w:sz w:val="20"/>
          <w:szCs w:val="20"/>
        </w:rPr>
        <w:t>See</w:t>
      </w:r>
      <w:r w:rsidRPr="003F5D3D">
        <w:rPr>
          <w:sz w:val="20"/>
          <w:szCs w:val="20"/>
        </w:rPr>
        <w:t xml:space="preserve"> </w:t>
      </w:r>
      <w:r w:rsidRPr="00BF1E4B">
        <w:rPr>
          <w:sz w:val="20"/>
          <w:szCs w:val="20"/>
        </w:rPr>
        <w:t>Catherine Turner</w:t>
      </w:r>
      <w:r w:rsidR="000739E3">
        <w:rPr>
          <w:sz w:val="20"/>
          <w:szCs w:val="20"/>
        </w:rPr>
        <w:t xml:space="preserve"> and </w:t>
      </w:r>
      <w:r w:rsidRPr="00BF1E4B">
        <w:rPr>
          <w:sz w:val="20"/>
          <w:szCs w:val="20"/>
        </w:rPr>
        <w:t>Aisling Swaine</w:t>
      </w:r>
      <w:r>
        <w:rPr>
          <w:sz w:val="20"/>
          <w:szCs w:val="20"/>
        </w:rPr>
        <w:t>,</w:t>
      </w:r>
      <w:r w:rsidRPr="00BF1E4B">
        <w:rPr>
          <w:sz w:val="20"/>
          <w:szCs w:val="20"/>
        </w:rPr>
        <w:t xml:space="preserve"> </w:t>
      </w:r>
      <w:r w:rsidRPr="006B0EF7">
        <w:rPr>
          <w:i/>
          <w:iCs/>
          <w:sz w:val="20"/>
          <w:szCs w:val="20"/>
        </w:rPr>
        <w:t>At the Nexus of Participation and Protection: Protection Related Barriers to Women’s Participation in Northern Ireland</w:t>
      </w:r>
      <w:r>
        <w:rPr>
          <w:sz w:val="20"/>
          <w:szCs w:val="20"/>
        </w:rPr>
        <w:t xml:space="preserve"> (</w:t>
      </w:r>
      <w:r w:rsidRPr="00BF1E4B">
        <w:rPr>
          <w:sz w:val="20"/>
          <w:szCs w:val="20"/>
        </w:rPr>
        <w:t>International Peace Institute</w:t>
      </w:r>
      <w:r>
        <w:rPr>
          <w:sz w:val="20"/>
          <w:szCs w:val="20"/>
        </w:rPr>
        <w:t xml:space="preserve"> 2021)</w:t>
      </w:r>
      <w:r w:rsidR="00B856DF">
        <w:rPr>
          <w:sz w:val="20"/>
          <w:szCs w:val="20"/>
        </w:rPr>
        <w:t xml:space="preserve">; Holmes (n </w:t>
      </w:r>
      <w:r w:rsidR="007A013D">
        <w:rPr>
          <w:sz w:val="20"/>
          <w:szCs w:val="20"/>
        </w:rPr>
        <w:t>1</w:t>
      </w:r>
      <w:r w:rsidR="00B856DF">
        <w:rPr>
          <w:sz w:val="20"/>
          <w:szCs w:val="20"/>
        </w:rPr>
        <w:t>).</w:t>
      </w:r>
    </w:p>
  </w:footnote>
  <w:footnote w:id="4">
    <w:p w14:paraId="46FE0A6F" w14:textId="74A25BF2" w:rsidR="0011027D" w:rsidRPr="00CC23BE" w:rsidRDefault="0011027D" w:rsidP="001535B3">
      <w:pPr>
        <w:rPr>
          <w:sz w:val="20"/>
          <w:szCs w:val="20"/>
        </w:rPr>
      </w:pPr>
      <w:r w:rsidRPr="00CC23BE">
        <w:rPr>
          <w:rStyle w:val="FootnoteReference"/>
          <w:sz w:val="20"/>
          <w:szCs w:val="20"/>
        </w:rPr>
        <w:footnoteRef/>
      </w:r>
      <w:r w:rsidRPr="00CC23BE">
        <w:rPr>
          <w:sz w:val="20"/>
          <w:szCs w:val="20"/>
        </w:rPr>
        <w:t xml:space="preserve"> </w:t>
      </w:r>
      <w:r w:rsidR="00062CA1">
        <w:rPr>
          <w:sz w:val="20"/>
          <w:szCs w:val="20"/>
        </w:rPr>
        <w:t>UNSC</w:t>
      </w:r>
      <w:r w:rsidR="00136BE8">
        <w:rPr>
          <w:sz w:val="20"/>
          <w:szCs w:val="20"/>
        </w:rPr>
        <w:t xml:space="preserve">, </w:t>
      </w:r>
      <w:r w:rsidR="00062CA1">
        <w:rPr>
          <w:sz w:val="20"/>
          <w:szCs w:val="20"/>
        </w:rPr>
        <w:t>‘</w:t>
      </w:r>
      <w:r w:rsidRPr="00062CA1">
        <w:rPr>
          <w:sz w:val="20"/>
          <w:szCs w:val="20"/>
        </w:rPr>
        <w:t>Women and peace and security, Report of the Secretary-Gener</w:t>
      </w:r>
      <w:r w:rsidR="00136BE8" w:rsidRPr="00062CA1">
        <w:rPr>
          <w:sz w:val="20"/>
          <w:szCs w:val="20"/>
        </w:rPr>
        <w:t>al</w:t>
      </w:r>
      <w:r w:rsidR="00062CA1">
        <w:rPr>
          <w:sz w:val="20"/>
          <w:szCs w:val="20"/>
        </w:rPr>
        <w:t>’</w:t>
      </w:r>
      <w:r w:rsidR="00F043FB">
        <w:rPr>
          <w:sz w:val="20"/>
          <w:szCs w:val="20"/>
        </w:rPr>
        <w:t xml:space="preserve"> (27 September 2021) UN Doc.</w:t>
      </w:r>
      <w:r w:rsidRPr="00F043FB">
        <w:rPr>
          <w:sz w:val="20"/>
          <w:szCs w:val="20"/>
        </w:rPr>
        <w:t xml:space="preserve"> S/2021/1827</w:t>
      </w:r>
      <w:r w:rsidR="00F043FB">
        <w:rPr>
          <w:i/>
          <w:iCs/>
          <w:sz w:val="20"/>
          <w:szCs w:val="20"/>
        </w:rPr>
        <w:t>.</w:t>
      </w:r>
    </w:p>
  </w:footnote>
  <w:footnote w:id="5">
    <w:p w14:paraId="00000063" w14:textId="73D69309" w:rsidR="0011027D" w:rsidRPr="003F5D3D" w:rsidRDefault="0011027D" w:rsidP="00390885">
      <w:pPr>
        <w:rPr>
          <w:sz w:val="20"/>
          <w:szCs w:val="20"/>
        </w:rPr>
      </w:pPr>
      <w:r w:rsidRPr="003F5D3D">
        <w:rPr>
          <w:sz w:val="20"/>
          <w:szCs w:val="20"/>
          <w:vertAlign w:val="superscript"/>
        </w:rPr>
        <w:footnoteRef/>
      </w:r>
      <w:r>
        <w:rPr>
          <w:sz w:val="20"/>
          <w:szCs w:val="20"/>
        </w:rPr>
        <w:t xml:space="preserve"> </w:t>
      </w:r>
      <w:proofErr w:type="spellStart"/>
      <w:r w:rsidRPr="00390885">
        <w:rPr>
          <w:sz w:val="20"/>
          <w:szCs w:val="20"/>
        </w:rPr>
        <w:t>Ratn</w:t>
      </w:r>
      <w:r>
        <w:rPr>
          <w:sz w:val="20"/>
          <w:szCs w:val="20"/>
        </w:rPr>
        <w:t>a</w:t>
      </w:r>
      <w:proofErr w:type="spellEnd"/>
      <w:r>
        <w:rPr>
          <w:sz w:val="20"/>
          <w:szCs w:val="20"/>
        </w:rPr>
        <w:t xml:space="preserve"> </w:t>
      </w:r>
      <w:proofErr w:type="spellStart"/>
      <w:r w:rsidRPr="00390885">
        <w:rPr>
          <w:sz w:val="20"/>
          <w:szCs w:val="20"/>
        </w:rPr>
        <w:t>Kapur</w:t>
      </w:r>
      <w:proofErr w:type="spellEnd"/>
      <w:r>
        <w:rPr>
          <w:sz w:val="20"/>
          <w:szCs w:val="20"/>
        </w:rPr>
        <w:t xml:space="preserve">, </w:t>
      </w:r>
      <w:r w:rsidRPr="006B0EF7">
        <w:rPr>
          <w:i/>
          <w:iCs/>
          <w:sz w:val="20"/>
          <w:szCs w:val="20"/>
        </w:rPr>
        <w:t>Gender, Alterity, and Human Rights</w:t>
      </w:r>
      <w:r>
        <w:rPr>
          <w:sz w:val="20"/>
          <w:szCs w:val="20"/>
        </w:rPr>
        <w:t xml:space="preserve"> (</w:t>
      </w:r>
      <w:r w:rsidRPr="00390885">
        <w:rPr>
          <w:sz w:val="20"/>
          <w:szCs w:val="20"/>
        </w:rPr>
        <w:t>Edward Elgar</w:t>
      </w:r>
      <w:r>
        <w:rPr>
          <w:sz w:val="20"/>
          <w:szCs w:val="20"/>
        </w:rPr>
        <w:t xml:space="preserve"> 2020)</w:t>
      </w:r>
      <w:r w:rsidRPr="00390885">
        <w:rPr>
          <w:sz w:val="20"/>
          <w:szCs w:val="20"/>
        </w:rPr>
        <w:t xml:space="preserve">; See generally: </w:t>
      </w:r>
      <w:proofErr w:type="spellStart"/>
      <w:r w:rsidRPr="00390885">
        <w:rPr>
          <w:sz w:val="20"/>
          <w:szCs w:val="20"/>
        </w:rPr>
        <w:t>Soumita</w:t>
      </w:r>
      <w:proofErr w:type="spellEnd"/>
      <w:r w:rsidRPr="00390885">
        <w:rPr>
          <w:sz w:val="20"/>
          <w:szCs w:val="20"/>
        </w:rPr>
        <w:t xml:space="preserve"> </w:t>
      </w:r>
      <w:proofErr w:type="spellStart"/>
      <w:r w:rsidRPr="00390885">
        <w:rPr>
          <w:sz w:val="20"/>
          <w:szCs w:val="20"/>
        </w:rPr>
        <w:t>Basu</w:t>
      </w:r>
      <w:proofErr w:type="spellEnd"/>
      <w:r w:rsidRPr="00390885">
        <w:rPr>
          <w:sz w:val="20"/>
          <w:szCs w:val="20"/>
        </w:rPr>
        <w:t xml:space="preserve">, Paul Kirby and Laura J. Shepherd (eds.) </w:t>
      </w:r>
      <w:r w:rsidRPr="006B0EF7">
        <w:rPr>
          <w:i/>
          <w:iCs/>
          <w:sz w:val="20"/>
          <w:szCs w:val="20"/>
        </w:rPr>
        <w:t xml:space="preserve">New Directions </w:t>
      </w:r>
      <w:proofErr w:type="gramStart"/>
      <w:r w:rsidRPr="006B0EF7">
        <w:rPr>
          <w:i/>
          <w:iCs/>
          <w:sz w:val="20"/>
          <w:szCs w:val="20"/>
        </w:rPr>
        <w:t>In</w:t>
      </w:r>
      <w:proofErr w:type="gramEnd"/>
      <w:r w:rsidRPr="006B0EF7">
        <w:rPr>
          <w:i/>
          <w:iCs/>
          <w:sz w:val="20"/>
          <w:szCs w:val="20"/>
        </w:rPr>
        <w:t xml:space="preserve"> Women, Peace And Security</w:t>
      </w:r>
      <w:r w:rsidRPr="00390885">
        <w:rPr>
          <w:sz w:val="20"/>
          <w:szCs w:val="20"/>
        </w:rPr>
        <w:t xml:space="preserve"> (Bristol University Press 2020);</w:t>
      </w:r>
      <w:r>
        <w:rPr>
          <w:sz w:val="20"/>
          <w:szCs w:val="20"/>
        </w:rPr>
        <w:t xml:space="preserve"> </w:t>
      </w:r>
      <w:r w:rsidRPr="00390885">
        <w:rPr>
          <w:sz w:val="20"/>
          <w:szCs w:val="20"/>
        </w:rPr>
        <w:t>Dianne</w:t>
      </w:r>
      <w:r>
        <w:rPr>
          <w:sz w:val="20"/>
          <w:szCs w:val="20"/>
        </w:rPr>
        <w:t xml:space="preserve"> </w:t>
      </w:r>
      <w:r w:rsidRPr="00390885">
        <w:rPr>
          <w:sz w:val="20"/>
          <w:szCs w:val="20"/>
        </w:rPr>
        <w:t>Otto</w:t>
      </w:r>
      <w:r>
        <w:rPr>
          <w:sz w:val="20"/>
          <w:szCs w:val="20"/>
        </w:rPr>
        <w:t>, ‘</w:t>
      </w:r>
      <w:r w:rsidRPr="00390885">
        <w:rPr>
          <w:sz w:val="20"/>
          <w:szCs w:val="20"/>
        </w:rPr>
        <w:t>A Sign of "Weakness"? Disrupting Gender Certainties in the Implementation of Security Council Resolution 1325</w:t>
      </w:r>
      <w:r>
        <w:rPr>
          <w:sz w:val="20"/>
          <w:szCs w:val="20"/>
        </w:rPr>
        <w:t>’ (</w:t>
      </w:r>
      <w:r w:rsidRPr="00390885">
        <w:rPr>
          <w:sz w:val="20"/>
          <w:szCs w:val="20"/>
        </w:rPr>
        <w:t>2006</w:t>
      </w:r>
      <w:r>
        <w:rPr>
          <w:sz w:val="20"/>
          <w:szCs w:val="20"/>
        </w:rPr>
        <w:t xml:space="preserve">) 13 </w:t>
      </w:r>
      <w:r w:rsidRPr="00390885">
        <w:rPr>
          <w:sz w:val="20"/>
          <w:szCs w:val="20"/>
        </w:rPr>
        <w:t>Michigan Journal of Gender</w:t>
      </w:r>
      <w:r w:rsidR="00F043FB">
        <w:rPr>
          <w:sz w:val="20"/>
          <w:szCs w:val="20"/>
        </w:rPr>
        <w:t xml:space="preserve"> &amp;</w:t>
      </w:r>
      <w:r w:rsidRPr="00390885">
        <w:rPr>
          <w:sz w:val="20"/>
          <w:szCs w:val="20"/>
        </w:rPr>
        <w:t xml:space="preserve"> Law</w:t>
      </w:r>
      <w:r>
        <w:rPr>
          <w:sz w:val="20"/>
          <w:szCs w:val="20"/>
        </w:rPr>
        <w:t xml:space="preserve"> </w:t>
      </w:r>
      <w:r w:rsidRPr="00390885">
        <w:rPr>
          <w:sz w:val="20"/>
          <w:szCs w:val="20"/>
        </w:rPr>
        <w:t>113.</w:t>
      </w:r>
    </w:p>
  </w:footnote>
  <w:footnote w:id="6">
    <w:p w14:paraId="0000008D" w14:textId="65D91A29" w:rsidR="0011027D" w:rsidRPr="00240E11" w:rsidRDefault="0011027D" w:rsidP="00720128">
      <w:pPr>
        <w:jc w:val="both"/>
        <w:rPr>
          <w:sz w:val="20"/>
          <w:szCs w:val="20"/>
        </w:rPr>
      </w:pPr>
      <w:r w:rsidRPr="003F5D3D">
        <w:rPr>
          <w:sz w:val="20"/>
          <w:szCs w:val="20"/>
          <w:vertAlign w:val="superscript"/>
        </w:rPr>
        <w:footnoteRef/>
      </w:r>
      <w:r>
        <w:rPr>
          <w:sz w:val="20"/>
          <w:szCs w:val="20"/>
          <w:vertAlign w:val="superscript"/>
        </w:rPr>
        <w:t xml:space="preserve"> </w:t>
      </w:r>
      <w:r w:rsidR="00062CA1">
        <w:rPr>
          <w:sz w:val="20"/>
          <w:szCs w:val="20"/>
        </w:rPr>
        <w:t>UNHRC</w:t>
      </w:r>
      <w:r w:rsidR="00F043FB">
        <w:rPr>
          <w:sz w:val="20"/>
          <w:szCs w:val="20"/>
        </w:rPr>
        <w:t>,</w:t>
      </w:r>
      <w:r>
        <w:rPr>
          <w:sz w:val="20"/>
          <w:szCs w:val="20"/>
        </w:rPr>
        <w:t xml:space="preserve"> </w:t>
      </w:r>
      <w:r w:rsidR="00062CA1">
        <w:rPr>
          <w:sz w:val="20"/>
          <w:szCs w:val="20"/>
        </w:rPr>
        <w:t>‘</w:t>
      </w:r>
      <w:r w:rsidRPr="00062CA1">
        <w:rPr>
          <w:sz w:val="20"/>
          <w:szCs w:val="20"/>
        </w:rPr>
        <w:t xml:space="preserve">Promotion </w:t>
      </w:r>
      <w:r w:rsidR="002C2210">
        <w:rPr>
          <w:sz w:val="20"/>
          <w:szCs w:val="20"/>
        </w:rPr>
        <w:t>a</w:t>
      </w:r>
      <w:r w:rsidRPr="00062CA1">
        <w:rPr>
          <w:sz w:val="20"/>
          <w:szCs w:val="20"/>
        </w:rPr>
        <w:t xml:space="preserve">nd Protection </w:t>
      </w:r>
      <w:r w:rsidR="00062CA1">
        <w:rPr>
          <w:sz w:val="20"/>
          <w:szCs w:val="20"/>
        </w:rPr>
        <w:t>o</w:t>
      </w:r>
      <w:r w:rsidRPr="00062CA1">
        <w:rPr>
          <w:sz w:val="20"/>
          <w:szCs w:val="20"/>
        </w:rPr>
        <w:t xml:space="preserve">f Human Rights Human Rights Defenders, Report of the Special Representative of the Secretary-General, </w:t>
      </w:r>
      <w:proofErr w:type="spellStart"/>
      <w:r w:rsidRPr="00062CA1">
        <w:rPr>
          <w:sz w:val="20"/>
          <w:szCs w:val="20"/>
        </w:rPr>
        <w:t>Hina</w:t>
      </w:r>
      <w:proofErr w:type="spellEnd"/>
      <w:r w:rsidRPr="00062CA1">
        <w:rPr>
          <w:sz w:val="20"/>
          <w:szCs w:val="20"/>
        </w:rPr>
        <w:t xml:space="preserve"> Jilani</w:t>
      </w:r>
      <w:r w:rsidR="00062CA1">
        <w:rPr>
          <w:sz w:val="20"/>
          <w:szCs w:val="20"/>
        </w:rPr>
        <w:t xml:space="preserve">’ </w:t>
      </w:r>
      <w:r w:rsidR="00F043FB">
        <w:rPr>
          <w:sz w:val="20"/>
          <w:szCs w:val="20"/>
        </w:rPr>
        <w:t>(13 December 2004) UN Doc.</w:t>
      </w:r>
      <w:r w:rsidRPr="00F043FB">
        <w:rPr>
          <w:sz w:val="20"/>
          <w:szCs w:val="20"/>
        </w:rPr>
        <w:t xml:space="preserve"> E/CN.4/2005/101</w:t>
      </w:r>
      <w:r>
        <w:rPr>
          <w:sz w:val="20"/>
          <w:szCs w:val="20"/>
        </w:rPr>
        <w:t xml:space="preserve">; </w:t>
      </w:r>
      <w:r w:rsidRPr="00720128">
        <w:rPr>
          <w:sz w:val="20"/>
          <w:szCs w:val="20"/>
        </w:rPr>
        <w:t>UNHRC</w:t>
      </w:r>
      <w:r>
        <w:rPr>
          <w:sz w:val="20"/>
          <w:szCs w:val="20"/>
        </w:rPr>
        <w:t xml:space="preserve">, </w:t>
      </w:r>
      <w:r w:rsidR="00062CA1">
        <w:rPr>
          <w:sz w:val="20"/>
          <w:szCs w:val="20"/>
        </w:rPr>
        <w:t>‘</w:t>
      </w:r>
      <w:r w:rsidRPr="00062CA1">
        <w:rPr>
          <w:sz w:val="20"/>
          <w:szCs w:val="20"/>
        </w:rPr>
        <w:t xml:space="preserve">Report of the Special Rapporteur on the situation of human rights defenders, Margaret </w:t>
      </w:r>
      <w:proofErr w:type="spellStart"/>
      <w:r w:rsidRPr="00062CA1">
        <w:rPr>
          <w:sz w:val="20"/>
          <w:szCs w:val="20"/>
        </w:rPr>
        <w:t>Sekaggya</w:t>
      </w:r>
      <w:proofErr w:type="spellEnd"/>
      <w:r w:rsidR="00062CA1">
        <w:rPr>
          <w:sz w:val="20"/>
          <w:szCs w:val="20"/>
        </w:rPr>
        <w:t xml:space="preserve">’ </w:t>
      </w:r>
      <w:r w:rsidR="00F043FB">
        <w:rPr>
          <w:sz w:val="20"/>
          <w:szCs w:val="20"/>
        </w:rPr>
        <w:t>(20 December 2010) UN Doc.</w:t>
      </w:r>
      <w:r w:rsidRPr="00F043FB">
        <w:rPr>
          <w:b/>
          <w:bCs/>
          <w:sz w:val="20"/>
          <w:szCs w:val="20"/>
        </w:rPr>
        <w:t xml:space="preserve"> </w:t>
      </w:r>
      <w:r w:rsidRPr="00F043FB">
        <w:rPr>
          <w:sz w:val="20"/>
          <w:szCs w:val="20"/>
        </w:rPr>
        <w:t>A/HRC/16/44</w:t>
      </w:r>
      <w:r w:rsidRPr="00240E11">
        <w:rPr>
          <w:sz w:val="20"/>
          <w:szCs w:val="20"/>
        </w:rPr>
        <w:t>; UNHRC</w:t>
      </w:r>
      <w:r w:rsidR="00F043FB">
        <w:rPr>
          <w:sz w:val="20"/>
          <w:szCs w:val="20"/>
        </w:rPr>
        <w:t>,</w:t>
      </w:r>
      <w:r w:rsidRPr="00240E11">
        <w:rPr>
          <w:sz w:val="20"/>
          <w:szCs w:val="20"/>
        </w:rPr>
        <w:t xml:space="preserve"> </w:t>
      </w:r>
      <w:r w:rsidR="00F043FB">
        <w:rPr>
          <w:sz w:val="20"/>
          <w:szCs w:val="20"/>
        </w:rPr>
        <w:t>‘</w:t>
      </w:r>
      <w:r w:rsidRPr="00F043FB">
        <w:rPr>
          <w:sz w:val="20"/>
          <w:szCs w:val="20"/>
        </w:rPr>
        <w:t>Situation of women human rights defenders, Report of the Special Rapporteur on the situation of human rights defenders</w:t>
      </w:r>
      <w:r w:rsidR="00F043FB">
        <w:rPr>
          <w:sz w:val="20"/>
          <w:szCs w:val="20"/>
        </w:rPr>
        <w:t>’ (10 January 2019) UN Doc.</w:t>
      </w:r>
      <w:r w:rsidRPr="00F043FB">
        <w:rPr>
          <w:sz w:val="20"/>
          <w:szCs w:val="20"/>
        </w:rPr>
        <w:t xml:space="preserve"> A/HRC/40/60</w:t>
      </w:r>
      <w:r w:rsidR="00F043FB">
        <w:rPr>
          <w:sz w:val="20"/>
          <w:szCs w:val="20"/>
        </w:rPr>
        <w:t>.</w:t>
      </w:r>
    </w:p>
  </w:footnote>
  <w:footnote w:id="7">
    <w:p w14:paraId="4970299C" w14:textId="6CD74E23" w:rsidR="0011027D" w:rsidRPr="00240E11" w:rsidRDefault="0011027D" w:rsidP="00240E11">
      <w:pPr>
        <w:pStyle w:val="FootnoteText"/>
      </w:pPr>
      <w:r w:rsidRPr="00240E11">
        <w:rPr>
          <w:rStyle w:val="FootnoteReference"/>
        </w:rPr>
        <w:footnoteRef/>
      </w:r>
      <w:r w:rsidR="000F6A3D">
        <w:t xml:space="preserve"> </w:t>
      </w:r>
      <w:r w:rsidR="000F6A3D" w:rsidRPr="000F6A3D">
        <w:t>Nadine</w:t>
      </w:r>
      <w:r w:rsidR="000F6A3D">
        <w:t xml:space="preserve"> </w:t>
      </w:r>
      <w:r w:rsidR="000F6A3D" w:rsidRPr="000F6A3D">
        <w:t>Puechguirbal</w:t>
      </w:r>
      <w:r w:rsidR="000F6A3D">
        <w:t>, ‘</w:t>
      </w:r>
      <w:r w:rsidR="000F6A3D" w:rsidRPr="000F6A3D">
        <w:t>Discourses on Gender, Patriarchy and Resolution 1325: A Textual Analysis of UN Documents</w:t>
      </w:r>
      <w:r w:rsidR="000F6A3D">
        <w:t>’</w:t>
      </w:r>
      <w:r w:rsidR="000F6A3D" w:rsidRPr="000F6A3D">
        <w:t xml:space="preserve"> </w:t>
      </w:r>
      <w:r w:rsidR="000F6A3D">
        <w:t>(</w:t>
      </w:r>
      <w:r w:rsidR="000F6A3D" w:rsidRPr="000F6A3D">
        <w:t>2010</w:t>
      </w:r>
      <w:r w:rsidR="000F6A3D">
        <w:t>) 17</w:t>
      </w:r>
      <w:r w:rsidR="000F6A3D" w:rsidRPr="000F6A3D">
        <w:t xml:space="preserve"> </w:t>
      </w:r>
      <w:r w:rsidR="000F6A3D" w:rsidRPr="002C2210">
        <w:t xml:space="preserve">International Peacekeeping </w:t>
      </w:r>
      <w:r w:rsidR="000F6A3D" w:rsidRPr="000F6A3D">
        <w:t xml:space="preserve">172. </w:t>
      </w:r>
    </w:p>
  </w:footnote>
  <w:footnote w:id="8">
    <w:p w14:paraId="00000064" w14:textId="5E93F8A7" w:rsidR="0011027D" w:rsidRPr="00240E11" w:rsidRDefault="0011027D" w:rsidP="005B391E">
      <w:pPr>
        <w:jc w:val="both"/>
        <w:rPr>
          <w:sz w:val="20"/>
          <w:szCs w:val="20"/>
        </w:rPr>
      </w:pPr>
      <w:r w:rsidRPr="00240E11">
        <w:rPr>
          <w:sz w:val="20"/>
          <w:szCs w:val="20"/>
          <w:vertAlign w:val="superscript"/>
        </w:rPr>
        <w:footnoteRef/>
      </w:r>
      <w:r w:rsidRPr="00240E11">
        <w:rPr>
          <w:sz w:val="20"/>
          <w:szCs w:val="20"/>
        </w:rPr>
        <w:t xml:space="preserve"> L</w:t>
      </w:r>
      <w:r>
        <w:rPr>
          <w:sz w:val="20"/>
          <w:szCs w:val="20"/>
        </w:rPr>
        <w:t>ouise</w:t>
      </w:r>
      <w:r w:rsidRPr="00240E11">
        <w:rPr>
          <w:sz w:val="20"/>
          <w:szCs w:val="20"/>
        </w:rPr>
        <w:t xml:space="preserve"> Olsson</w:t>
      </w:r>
      <w:r>
        <w:rPr>
          <w:sz w:val="20"/>
          <w:szCs w:val="20"/>
        </w:rPr>
        <w:t>, ‘</w:t>
      </w:r>
      <w:r w:rsidRPr="00240E11">
        <w:rPr>
          <w:sz w:val="20"/>
          <w:szCs w:val="20"/>
        </w:rPr>
        <w:t xml:space="preserve">Should We Abandon the UN Security Council as an Anchor for Women, Peace and Security? Personal </w:t>
      </w:r>
      <w:r w:rsidR="002C2210">
        <w:rPr>
          <w:sz w:val="20"/>
          <w:szCs w:val="20"/>
        </w:rPr>
        <w:t>R</w:t>
      </w:r>
      <w:r w:rsidRPr="00240E11">
        <w:rPr>
          <w:sz w:val="20"/>
          <w:szCs w:val="20"/>
        </w:rPr>
        <w:t>eflections from New York</w:t>
      </w:r>
      <w:r>
        <w:rPr>
          <w:sz w:val="20"/>
          <w:szCs w:val="20"/>
        </w:rPr>
        <w:t>’</w:t>
      </w:r>
      <w:r w:rsidRPr="00240E11">
        <w:rPr>
          <w:sz w:val="20"/>
          <w:szCs w:val="20"/>
        </w:rPr>
        <w:t xml:space="preserve"> </w:t>
      </w:r>
      <w:r>
        <w:rPr>
          <w:sz w:val="20"/>
          <w:szCs w:val="20"/>
        </w:rPr>
        <w:t>(</w:t>
      </w:r>
      <w:r w:rsidRPr="005B391E">
        <w:rPr>
          <w:i/>
          <w:iCs/>
          <w:sz w:val="20"/>
          <w:szCs w:val="20"/>
        </w:rPr>
        <w:t>PRIO Blogs</w:t>
      </w:r>
      <w:r>
        <w:rPr>
          <w:sz w:val="20"/>
          <w:szCs w:val="20"/>
        </w:rPr>
        <w:t xml:space="preserve"> 21 </w:t>
      </w:r>
      <w:r w:rsidRPr="00240E11">
        <w:rPr>
          <w:sz w:val="20"/>
          <w:szCs w:val="20"/>
        </w:rPr>
        <w:t>June 2022)</w:t>
      </w:r>
      <w:r>
        <w:rPr>
          <w:sz w:val="20"/>
          <w:szCs w:val="20"/>
        </w:rPr>
        <w:t xml:space="preserve">. </w:t>
      </w:r>
    </w:p>
  </w:footnote>
  <w:footnote w:id="9">
    <w:p w14:paraId="61F72DC6" w14:textId="0455C2CA" w:rsidR="0011027D" w:rsidRPr="00240E11" w:rsidRDefault="0011027D">
      <w:pPr>
        <w:pStyle w:val="FootnoteText"/>
      </w:pPr>
      <w:r>
        <w:rPr>
          <w:rStyle w:val="FootnoteReference"/>
        </w:rPr>
        <w:footnoteRef/>
      </w:r>
      <w:r>
        <w:t xml:space="preserve"> </w:t>
      </w:r>
      <w:r w:rsidRPr="00240E11">
        <w:rPr>
          <w:lang w:val="en-US"/>
        </w:rPr>
        <w:t>Catherine O’Rourke</w:t>
      </w:r>
      <w:r w:rsidR="00F043FB">
        <w:rPr>
          <w:lang w:val="en-US"/>
        </w:rPr>
        <w:t xml:space="preserve"> and</w:t>
      </w:r>
      <w:r>
        <w:rPr>
          <w:lang w:val="en-US"/>
        </w:rPr>
        <w:t xml:space="preserve"> </w:t>
      </w:r>
      <w:r w:rsidRPr="00240E11">
        <w:rPr>
          <w:lang w:val="en-US"/>
        </w:rPr>
        <w:t>Aisling Swaine</w:t>
      </w:r>
      <w:r>
        <w:rPr>
          <w:lang w:val="en-US"/>
        </w:rPr>
        <w:t>,</w:t>
      </w:r>
      <w:r w:rsidRPr="00240E11">
        <w:rPr>
          <w:lang w:val="en-US"/>
        </w:rPr>
        <w:t xml:space="preserve"> </w:t>
      </w:r>
      <w:r>
        <w:rPr>
          <w:lang w:val="en-US"/>
        </w:rPr>
        <w:t>‘</w:t>
      </w:r>
      <w:r w:rsidRPr="00240E11">
        <w:rPr>
          <w:lang w:val="en-US"/>
        </w:rPr>
        <w:t>CEDAW and the Security Council: Enhancing Women’s Rights in Conflict</w:t>
      </w:r>
      <w:r>
        <w:rPr>
          <w:lang w:val="en-US"/>
        </w:rPr>
        <w:t>’ (</w:t>
      </w:r>
      <w:r w:rsidRPr="00240E11">
        <w:rPr>
          <w:lang w:val="en-US"/>
        </w:rPr>
        <w:t>2018</w:t>
      </w:r>
      <w:r>
        <w:rPr>
          <w:lang w:val="en-US"/>
        </w:rPr>
        <w:t xml:space="preserve">) 67 </w:t>
      </w:r>
      <w:r w:rsidRPr="005B391E">
        <w:rPr>
          <w:lang w:val="en-US"/>
        </w:rPr>
        <w:t>ICLQ</w:t>
      </w:r>
      <w:r w:rsidRPr="00240E11">
        <w:rPr>
          <w:lang w:val="en-US"/>
        </w:rPr>
        <w:t xml:space="preserve"> 167</w:t>
      </w:r>
      <w:r w:rsidR="00F043FB">
        <w:rPr>
          <w:lang w:val="en-US"/>
        </w:rPr>
        <w:t>.</w:t>
      </w:r>
    </w:p>
  </w:footnote>
  <w:footnote w:id="10">
    <w:p w14:paraId="0000008E" w14:textId="52B624C8" w:rsidR="0011027D" w:rsidRPr="00730503" w:rsidRDefault="0011027D" w:rsidP="003F5D3D">
      <w:pPr>
        <w:jc w:val="both"/>
        <w:rPr>
          <w:sz w:val="20"/>
          <w:szCs w:val="20"/>
          <w:vertAlign w:val="superscript"/>
        </w:rPr>
      </w:pPr>
      <w:r w:rsidRPr="00730503">
        <w:rPr>
          <w:sz w:val="20"/>
          <w:szCs w:val="20"/>
          <w:vertAlign w:val="superscript"/>
        </w:rPr>
        <w:footnoteRef/>
      </w:r>
      <w:r>
        <w:rPr>
          <w:sz w:val="20"/>
          <w:szCs w:val="20"/>
          <w:lang w:val="en-US"/>
        </w:rPr>
        <w:t xml:space="preserve"> </w:t>
      </w:r>
      <w:r w:rsidR="000739E3">
        <w:rPr>
          <w:sz w:val="20"/>
          <w:szCs w:val="20"/>
          <w:lang w:val="en-US"/>
        </w:rPr>
        <w:t xml:space="preserve">O’Rourke and Swaine (n </w:t>
      </w:r>
      <w:r w:rsidR="00F267CB">
        <w:rPr>
          <w:sz w:val="20"/>
          <w:szCs w:val="20"/>
          <w:lang w:val="en-US"/>
        </w:rPr>
        <w:t>9</w:t>
      </w:r>
      <w:r w:rsidR="000739E3">
        <w:rPr>
          <w:sz w:val="20"/>
          <w:szCs w:val="20"/>
          <w:lang w:val="en-US"/>
        </w:rPr>
        <w:t>)</w:t>
      </w:r>
      <w:r w:rsidR="00A95430">
        <w:rPr>
          <w:sz w:val="20"/>
          <w:szCs w:val="20"/>
          <w:lang w:val="en-US"/>
        </w:rPr>
        <w:t>.</w:t>
      </w:r>
    </w:p>
  </w:footnote>
  <w:footnote w:id="11">
    <w:p w14:paraId="0000007F" w14:textId="5300D139" w:rsidR="0011027D" w:rsidRPr="003F5D3D" w:rsidRDefault="0011027D" w:rsidP="003F5D3D">
      <w:pPr>
        <w:jc w:val="both"/>
        <w:rPr>
          <w:sz w:val="20"/>
          <w:szCs w:val="20"/>
        </w:rPr>
      </w:pPr>
      <w:r w:rsidRPr="003F5D3D">
        <w:rPr>
          <w:sz w:val="20"/>
          <w:szCs w:val="20"/>
          <w:vertAlign w:val="superscript"/>
        </w:rPr>
        <w:footnoteRef/>
      </w:r>
      <w:r w:rsidRPr="003F5D3D">
        <w:rPr>
          <w:sz w:val="20"/>
          <w:szCs w:val="20"/>
        </w:rPr>
        <w:t xml:space="preserve"> </w:t>
      </w:r>
      <w:r>
        <w:rPr>
          <w:sz w:val="20"/>
          <w:szCs w:val="20"/>
        </w:rPr>
        <w:t xml:space="preserve">Dianne </w:t>
      </w:r>
      <w:r w:rsidRPr="003F5D3D">
        <w:rPr>
          <w:sz w:val="20"/>
          <w:szCs w:val="20"/>
        </w:rPr>
        <w:t xml:space="preserve">Otto, </w:t>
      </w:r>
      <w:r>
        <w:rPr>
          <w:sz w:val="20"/>
          <w:szCs w:val="20"/>
        </w:rPr>
        <w:t xml:space="preserve">‘The Security Council’s Alliance of Gender Legitimacy: The Symbolic Capital of Resolution 1325’ in Hilary Charlesworth and Jean-Marc </w:t>
      </w:r>
      <w:proofErr w:type="spellStart"/>
      <w:r>
        <w:rPr>
          <w:sz w:val="20"/>
          <w:szCs w:val="20"/>
        </w:rPr>
        <w:t>Coicaud</w:t>
      </w:r>
      <w:proofErr w:type="spellEnd"/>
      <w:r>
        <w:rPr>
          <w:sz w:val="20"/>
          <w:szCs w:val="20"/>
        </w:rPr>
        <w:t xml:space="preserve"> (eds). </w:t>
      </w:r>
      <w:r w:rsidRPr="006E3759">
        <w:rPr>
          <w:i/>
          <w:iCs/>
          <w:sz w:val="20"/>
          <w:szCs w:val="20"/>
        </w:rPr>
        <w:t>Fault Lines of International Legitimacy</w:t>
      </w:r>
      <w:r>
        <w:rPr>
          <w:sz w:val="20"/>
          <w:szCs w:val="20"/>
        </w:rPr>
        <w:t xml:space="preserve"> (Cambridge University Press, United Nations University, 2010)</w:t>
      </w:r>
      <w:r w:rsidR="00A95430">
        <w:rPr>
          <w:sz w:val="20"/>
          <w:szCs w:val="20"/>
        </w:rPr>
        <w:t>.</w:t>
      </w:r>
    </w:p>
  </w:footnote>
  <w:footnote w:id="12">
    <w:p w14:paraId="00000081" w14:textId="30ADF34F" w:rsidR="0011027D" w:rsidRPr="003F5D3D" w:rsidRDefault="0011027D" w:rsidP="001A0A5A">
      <w:pPr>
        <w:rPr>
          <w:sz w:val="20"/>
          <w:szCs w:val="20"/>
        </w:rPr>
      </w:pPr>
      <w:r w:rsidRPr="003F5D3D">
        <w:rPr>
          <w:sz w:val="20"/>
          <w:szCs w:val="20"/>
          <w:vertAlign w:val="superscript"/>
        </w:rPr>
        <w:footnoteRef/>
      </w:r>
      <w:r>
        <w:rPr>
          <w:sz w:val="20"/>
          <w:szCs w:val="20"/>
        </w:rPr>
        <w:t xml:space="preserve"> </w:t>
      </w:r>
      <w:r w:rsidRPr="00390885">
        <w:rPr>
          <w:sz w:val="20"/>
          <w:szCs w:val="20"/>
        </w:rPr>
        <w:t>Otto</w:t>
      </w:r>
      <w:r w:rsidR="006B1A4E">
        <w:rPr>
          <w:sz w:val="20"/>
          <w:szCs w:val="20"/>
        </w:rPr>
        <w:t xml:space="preserve"> (n 5)</w:t>
      </w:r>
      <w:r w:rsidR="00A95430">
        <w:rPr>
          <w:sz w:val="20"/>
          <w:szCs w:val="20"/>
        </w:rPr>
        <w:t>.</w:t>
      </w:r>
    </w:p>
  </w:footnote>
  <w:footnote w:id="13">
    <w:p w14:paraId="00000080" w14:textId="60DA4515" w:rsidR="0011027D" w:rsidRPr="003F5D3D" w:rsidRDefault="0011027D" w:rsidP="00A85012">
      <w:pPr>
        <w:jc w:val="both"/>
        <w:rPr>
          <w:sz w:val="20"/>
          <w:szCs w:val="20"/>
        </w:rPr>
      </w:pPr>
      <w:r w:rsidRPr="003F5D3D">
        <w:rPr>
          <w:sz w:val="20"/>
          <w:szCs w:val="20"/>
          <w:vertAlign w:val="superscript"/>
        </w:rPr>
        <w:footnoteRef/>
      </w:r>
      <w:r>
        <w:rPr>
          <w:sz w:val="20"/>
          <w:szCs w:val="20"/>
        </w:rPr>
        <w:t xml:space="preserve"> </w:t>
      </w:r>
      <w:r w:rsidRPr="00A85012">
        <w:rPr>
          <w:sz w:val="20"/>
          <w:szCs w:val="20"/>
        </w:rPr>
        <w:t>Sarah Kenny Werner</w:t>
      </w:r>
      <w:r w:rsidR="000739E3">
        <w:rPr>
          <w:sz w:val="20"/>
          <w:szCs w:val="20"/>
        </w:rPr>
        <w:t xml:space="preserve"> and</w:t>
      </w:r>
      <w:r>
        <w:rPr>
          <w:sz w:val="20"/>
          <w:szCs w:val="20"/>
        </w:rPr>
        <w:t xml:space="preserve"> </w:t>
      </w:r>
      <w:r w:rsidRPr="00A85012">
        <w:rPr>
          <w:sz w:val="20"/>
          <w:szCs w:val="20"/>
        </w:rPr>
        <w:t xml:space="preserve">Elena B. </w:t>
      </w:r>
      <w:proofErr w:type="spellStart"/>
      <w:r w:rsidRPr="00A85012">
        <w:rPr>
          <w:sz w:val="20"/>
          <w:szCs w:val="20"/>
        </w:rPr>
        <w:t>Stavrevska</w:t>
      </w:r>
      <w:proofErr w:type="spellEnd"/>
      <w:r>
        <w:rPr>
          <w:sz w:val="20"/>
          <w:szCs w:val="20"/>
        </w:rPr>
        <w:t>,</w:t>
      </w:r>
      <w:r w:rsidRPr="00A85012">
        <w:rPr>
          <w:sz w:val="20"/>
          <w:szCs w:val="20"/>
        </w:rPr>
        <w:t xml:space="preserve"> </w:t>
      </w:r>
      <w:r>
        <w:rPr>
          <w:sz w:val="20"/>
          <w:szCs w:val="20"/>
        </w:rPr>
        <w:t>‘</w:t>
      </w:r>
      <w:r w:rsidRPr="00A85012">
        <w:rPr>
          <w:sz w:val="20"/>
          <w:szCs w:val="20"/>
        </w:rPr>
        <w:t>Where are the Words? The Disappearance of the Women, Peace and Security Agenda in the Language of Country-Specific UN Security Council Resolutions</w:t>
      </w:r>
      <w:r>
        <w:rPr>
          <w:sz w:val="20"/>
          <w:szCs w:val="20"/>
        </w:rPr>
        <w:t>’</w:t>
      </w:r>
      <w:r w:rsidRPr="00A85012">
        <w:rPr>
          <w:sz w:val="20"/>
          <w:szCs w:val="20"/>
        </w:rPr>
        <w:t xml:space="preserve"> </w:t>
      </w:r>
      <w:r w:rsidR="002C2210">
        <w:rPr>
          <w:sz w:val="20"/>
          <w:szCs w:val="20"/>
        </w:rPr>
        <w:t>(</w:t>
      </w:r>
      <w:r w:rsidRPr="00A85012">
        <w:rPr>
          <w:sz w:val="20"/>
          <w:szCs w:val="20"/>
        </w:rPr>
        <w:t>Women’s International League for Peace and Freedom and the LSE Centre for Women, Peace and Security</w:t>
      </w:r>
      <w:r>
        <w:rPr>
          <w:sz w:val="20"/>
          <w:szCs w:val="20"/>
        </w:rPr>
        <w:t xml:space="preserve">, </w:t>
      </w:r>
      <w:r w:rsidRPr="00A85012">
        <w:rPr>
          <w:sz w:val="20"/>
          <w:szCs w:val="20"/>
        </w:rPr>
        <w:t>2020</w:t>
      </w:r>
      <w:r w:rsidR="002C2210">
        <w:rPr>
          <w:sz w:val="20"/>
          <w:szCs w:val="20"/>
        </w:rPr>
        <w:t>)</w:t>
      </w:r>
      <w:r>
        <w:rPr>
          <w:sz w:val="20"/>
          <w:szCs w:val="20"/>
        </w:rPr>
        <w:t xml:space="preserve">; </w:t>
      </w:r>
      <w:r w:rsidRPr="003F5D3D">
        <w:rPr>
          <w:sz w:val="20"/>
          <w:szCs w:val="20"/>
        </w:rPr>
        <w:t>O’Rourke and Swaine</w:t>
      </w:r>
      <w:r w:rsidR="000739E3">
        <w:rPr>
          <w:sz w:val="20"/>
          <w:szCs w:val="20"/>
        </w:rPr>
        <w:t xml:space="preserve"> (n </w:t>
      </w:r>
      <w:r w:rsidR="00F267CB">
        <w:rPr>
          <w:sz w:val="20"/>
          <w:szCs w:val="20"/>
        </w:rPr>
        <w:t>9</w:t>
      </w:r>
      <w:r w:rsidR="000739E3">
        <w:rPr>
          <w:sz w:val="20"/>
          <w:szCs w:val="20"/>
        </w:rPr>
        <w:t>).</w:t>
      </w:r>
    </w:p>
  </w:footnote>
  <w:footnote w:id="14">
    <w:p w14:paraId="00000082" w14:textId="2B8C1C03" w:rsidR="0011027D" w:rsidRPr="003F5D3D" w:rsidRDefault="0011027D" w:rsidP="00A85012">
      <w:pPr>
        <w:jc w:val="both"/>
        <w:rPr>
          <w:sz w:val="20"/>
          <w:szCs w:val="20"/>
        </w:rPr>
      </w:pPr>
      <w:r w:rsidRPr="003F5D3D">
        <w:rPr>
          <w:sz w:val="20"/>
          <w:szCs w:val="20"/>
          <w:vertAlign w:val="superscript"/>
        </w:rPr>
        <w:footnoteRef/>
      </w:r>
      <w:r>
        <w:rPr>
          <w:sz w:val="20"/>
          <w:szCs w:val="20"/>
        </w:rPr>
        <w:t xml:space="preserve"> </w:t>
      </w:r>
      <w:r w:rsidRPr="00A85012">
        <w:rPr>
          <w:sz w:val="20"/>
          <w:szCs w:val="20"/>
        </w:rPr>
        <w:t>Paul Kirby</w:t>
      </w:r>
      <w:r w:rsidR="000739E3">
        <w:rPr>
          <w:sz w:val="20"/>
          <w:szCs w:val="20"/>
        </w:rPr>
        <w:t xml:space="preserve"> and </w:t>
      </w:r>
      <w:r w:rsidRPr="00A85012">
        <w:rPr>
          <w:sz w:val="20"/>
          <w:szCs w:val="20"/>
        </w:rPr>
        <w:t>Laura Shepherd</w:t>
      </w:r>
      <w:r>
        <w:rPr>
          <w:sz w:val="20"/>
          <w:szCs w:val="20"/>
        </w:rPr>
        <w:t>, ‘</w:t>
      </w:r>
      <w:r w:rsidRPr="00A85012">
        <w:rPr>
          <w:sz w:val="20"/>
          <w:szCs w:val="20"/>
        </w:rPr>
        <w:t>Women, Peace, and Security: Mapping the (Re)Production of a Policy Ecosystem</w:t>
      </w:r>
      <w:r>
        <w:rPr>
          <w:sz w:val="20"/>
          <w:szCs w:val="20"/>
        </w:rPr>
        <w:t>’ (2</w:t>
      </w:r>
      <w:r w:rsidRPr="00A85012">
        <w:rPr>
          <w:sz w:val="20"/>
          <w:szCs w:val="20"/>
        </w:rPr>
        <w:t>020</w:t>
      </w:r>
      <w:r>
        <w:rPr>
          <w:sz w:val="20"/>
          <w:szCs w:val="20"/>
        </w:rPr>
        <w:t xml:space="preserve">) 6 </w:t>
      </w:r>
      <w:r w:rsidRPr="00F043FB">
        <w:rPr>
          <w:sz w:val="20"/>
          <w:szCs w:val="20"/>
        </w:rPr>
        <w:t>Journal of Global Security Studies</w:t>
      </w:r>
      <w:r w:rsidRPr="00A85012">
        <w:rPr>
          <w:i/>
          <w:iCs/>
          <w:sz w:val="20"/>
          <w:szCs w:val="20"/>
        </w:rPr>
        <w:t xml:space="preserve"> </w:t>
      </w:r>
      <w:r w:rsidR="000739E3">
        <w:rPr>
          <w:sz w:val="20"/>
          <w:szCs w:val="20"/>
        </w:rPr>
        <w:t xml:space="preserve">1. </w:t>
      </w:r>
    </w:p>
  </w:footnote>
  <w:footnote w:id="15">
    <w:p w14:paraId="00000060" w14:textId="467DFEC2" w:rsidR="0011027D" w:rsidRPr="003F5D3D" w:rsidRDefault="0011027D" w:rsidP="00374D8C">
      <w:pPr>
        <w:rPr>
          <w:sz w:val="20"/>
          <w:szCs w:val="20"/>
        </w:rPr>
      </w:pPr>
      <w:r w:rsidRPr="003F5D3D">
        <w:rPr>
          <w:sz w:val="20"/>
          <w:szCs w:val="20"/>
          <w:vertAlign w:val="superscript"/>
        </w:rPr>
        <w:footnoteRef/>
      </w:r>
      <w:r w:rsidRPr="003F5D3D">
        <w:rPr>
          <w:sz w:val="20"/>
          <w:szCs w:val="20"/>
        </w:rPr>
        <w:t xml:space="preserve"> </w:t>
      </w:r>
      <w:r w:rsidR="003365D1">
        <w:rPr>
          <w:sz w:val="20"/>
          <w:szCs w:val="20"/>
        </w:rPr>
        <w:t xml:space="preserve">Jacqui </w:t>
      </w:r>
      <w:r w:rsidRPr="003365D1">
        <w:rPr>
          <w:sz w:val="20"/>
          <w:szCs w:val="20"/>
        </w:rPr>
        <w:t>True,</w:t>
      </w:r>
      <w:r w:rsidR="003365D1" w:rsidRPr="003365D1">
        <w:rPr>
          <w:sz w:val="20"/>
          <w:szCs w:val="20"/>
        </w:rPr>
        <w:t xml:space="preserve"> ‘Explaining the Global Diffusion of the Women Peace and Security Agenda</w:t>
      </w:r>
      <w:r w:rsidRPr="003365D1">
        <w:rPr>
          <w:sz w:val="20"/>
          <w:szCs w:val="20"/>
        </w:rPr>
        <w:t xml:space="preserve"> </w:t>
      </w:r>
      <w:r w:rsidR="003365D1" w:rsidRPr="003365D1">
        <w:rPr>
          <w:sz w:val="20"/>
          <w:szCs w:val="20"/>
        </w:rPr>
        <w:t>(</w:t>
      </w:r>
      <w:r w:rsidRPr="003365D1">
        <w:rPr>
          <w:sz w:val="20"/>
          <w:szCs w:val="20"/>
        </w:rPr>
        <w:t>2016</w:t>
      </w:r>
      <w:r w:rsidR="003365D1" w:rsidRPr="003365D1">
        <w:rPr>
          <w:sz w:val="20"/>
          <w:szCs w:val="20"/>
        </w:rPr>
        <w:t>)</w:t>
      </w:r>
      <w:r w:rsidR="00F043FB">
        <w:rPr>
          <w:sz w:val="20"/>
          <w:szCs w:val="20"/>
        </w:rPr>
        <w:t xml:space="preserve"> </w:t>
      </w:r>
      <w:r w:rsidR="003365D1" w:rsidRPr="003365D1">
        <w:rPr>
          <w:sz w:val="20"/>
          <w:szCs w:val="20"/>
        </w:rPr>
        <w:t>37 International Political Science Review 307</w:t>
      </w:r>
      <w:r w:rsidRPr="003365D1">
        <w:rPr>
          <w:sz w:val="20"/>
          <w:szCs w:val="20"/>
        </w:rPr>
        <w:t>;</w:t>
      </w:r>
      <w:r w:rsidRPr="003F5D3D">
        <w:rPr>
          <w:sz w:val="20"/>
          <w:szCs w:val="20"/>
        </w:rPr>
        <w:t xml:space="preserve"> </w:t>
      </w:r>
      <w:proofErr w:type="spellStart"/>
      <w:r w:rsidRPr="003B1CC4">
        <w:rPr>
          <w:sz w:val="20"/>
          <w:szCs w:val="20"/>
        </w:rPr>
        <w:t>Torunn</w:t>
      </w:r>
      <w:proofErr w:type="spellEnd"/>
      <w:r w:rsidRPr="003B1CC4">
        <w:rPr>
          <w:sz w:val="20"/>
          <w:szCs w:val="20"/>
        </w:rPr>
        <w:t xml:space="preserve"> L. </w:t>
      </w:r>
      <w:proofErr w:type="spellStart"/>
      <w:r w:rsidRPr="003B1CC4">
        <w:rPr>
          <w:sz w:val="20"/>
          <w:szCs w:val="20"/>
        </w:rPr>
        <w:t>Tyrggestad</w:t>
      </w:r>
      <w:proofErr w:type="spellEnd"/>
      <w:r w:rsidRPr="003F5D3D">
        <w:rPr>
          <w:sz w:val="20"/>
          <w:szCs w:val="20"/>
        </w:rPr>
        <w:t xml:space="preserve"> </w:t>
      </w:r>
      <w:r>
        <w:rPr>
          <w:sz w:val="20"/>
          <w:szCs w:val="20"/>
        </w:rPr>
        <w:t>‘</w:t>
      </w:r>
      <w:r w:rsidRPr="00374D8C">
        <w:rPr>
          <w:sz w:val="20"/>
          <w:szCs w:val="20"/>
        </w:rPr>
        <w:t>Trick or Treat?</w:t>
      </w:r>
      <w:r>
        <w:rPr>
          <w:sz w:val="20"/>
          <w:szCs w:val="20"/>
        </w:rPr>
        <w:t xml:space="preserve"> </w:t>
      </w:r>
      <w:r w:rsidRPr="00374D8C">
        <w:rPr>
          <w:sz w:val="20"/>
          <w:szCs w:val="20"/>
        </w:rPr>
        <w:t>The UN and Implementation of Security Council Resolution 1325 on Women, Peace, and Security</w:t>
      </w:r>
      <w:r>
        <w:rPr>
          <w:sz w:val="20"/>
          <w:szCs w:val="20"/>
        </w:rPr>
        <w:t xml:space="preserve">’ (2009) 15 </w:t>
      </w:r>
      <w:r w:rsidRPr="00F043FB">
        <w:rPr>
          <w:sz w:val="20"/>
          <w:szCs w:val="20"/>
        </w:rPr>
        <w:t>Global Governance</w:t>
      </w:r>
      <w:r w:rsidRPr="00374D8C">
        <w:rPr>
          <w:i/>
          <w:iCs/>
          <w:sz w:val="20"/>
          <w:szCs w:val="20"/>
        </w:rPr>
        <w:t xml:space="preserve"> </w:t>
      </w:r>
      <w:r w:rsidRPr="00F043FB">
        <w:rPr>
          <w:sz w:val="20"/>
          <w:szCs w:val="20"/>
        </w:rPr>
        <w:t>539</w:t>
      </w:r>
      <w:r>
        <w:rPr>
          <w:i/>
          <w:iCs/>
          <w:sz w:val="20"/>
          <w:szCs w:val="20"/>
        </w:rPr>
        <w:t xml:space="preserve">; </w:t>
      </w:r>
      <w:r w:rsidRPr="003B1CC4">
        <w:rPr>
          <w:sz w:val="20"/>
          <w:szCs w:val="20"/>
        </w:rPr>
        <w:t>Christine</w:t>
      </w:r>
      <w:r w:rsidRPr="00374D8C">
        <w:rPr>
          <w:i/>
          <w:iCs/>
          <w:sz w:val="20"/>
          <w:szCs w:val="20"/>
        </w:rPr>
        <w:t xml:space="preserve"> </w:t>
      </w:r>
      <w:proofErr w:type="spellStart"/>
      <w:r w:rsidRPr="003F5D3D">
        <w:rPr>
          <w:sz w:val="20"/>
          <w:szCs w:val="20"/>
        </w:rPr>
        <w:t>Chinkin</w:t>
      </w:r>
      <w:proofErr w:type="spellEnd"/>
      <w:r>
        <w:rPr>
          <w:sz w:val="20"/>
          <w:szCs w:val="20"/>
        </w:rPr>
        <w:t xml:space="preserve">, </w:t>
      </w:r>
      <w:r w:rsidRPr="003B1CC4">
        <w:rPr>
          <w:i/>
          <w:iCs/>
          <w:sz w:val="20"/>
          <w:szCs w:val="20"/>
        </w:rPr>
        <w:t>Women, Peace and Security and International Law</w:t>
      </w:r>
      <w:r>
        <w:rPr>
          <w:sz w:val="20"/>
          <w:szCs w:val="20"/>
        </w:rPr>
        <w:t xml:space="preserve"> (Cambridge University Press</w:t>
      </w:r>
      <w:r w:rsidR="00F043FB">
        <w:rPr>
          <w:sz w:val="20"/>
          <w:szCs w:val="20"/>
        </w:rPr>
        <w:t xml:space="preserve"> </w:t>
      </w:r>
      <w:r>
        <w:rPr>
          <w:sz w:val="20"/>
          <w:szCs w:val="20"/>
        </w:rPr>
        <w:t>2022)</w:t>
      </w:r>
      <w:r w:rsidR="00D15164">
        <w:rPr>
          <w:sz w:val="20"/>
          <w:szCs w:val="20"/>
        </w:rPr>
        <w:t>.</w:t>
      </w:r>
    </w:p>
  </w:footnote>
  <w:footnote w:id="16">
    <w:p w14:paraId="00000083" w14:textId="258DB8C7" w:rsidR="0011027D" w:rsidRPr="003F5D3D" w:rsidRDefault="0011027D" w:rsidP="003F5D3D">
      <w:pPr>
        <w:jc w:val="both"/>
        <w:rPr>
          <w:sz w:val="20"/>
          <w:szCs w:val="20"/>
        </w:rPr>
      </w:pPr>
      <w:r w:rsidRPr="003F5D3D">
        <w:rPr>
          <w:sz w:val="20"/>
          <w:szCs w:val="20"/>
          <w:vertAlign w:val="superscript"/>
        </w:rPr>
        <w:footnoteRef/>
      </w:r>
      <w:r w:rsidRPr="003F5D3D">
        <w:rPr>
          <w:sz w:val="20"/>
          <w:szCs w:val="20"/>
        </w:rPr>
        <w:t xml:space="preserve"> </w:t>
      </w:r>
      <w:proofErr w:type="spellStart"/>
      <w:r w:rsidRPr="003F5D3D">
        <w:rPr>
          <w:sz w:val="20"/>
          <w:szCs w:val="20"/>
        </w:rPr>
        <w:t>Chinkin</w:t>
      </w:r>
      <w:proofErr w:type="spellEnd"/>
      <w:r>
        <w:rPr>
          <w:sz w:val="20"/>
          <w:szCs w:val="20"/>
        </w:rPr>
        <w:t xml:space="preserve"> </w:t>
      </w:r>
      <w:r w:rsidR="00F043FB">
        <w:rPr>
          <w:sz w:val="20"/>
          <w:szCs w:val="20"/>
        </w:rPr>
        <w:t>(n 1</w:t>
      </w:r>
      <w:r w:rsidR="00FD4A0E">
        <w:rPr>
          <w:sz w:val="20"/>
          <w:szCs w:val="20"/>
        </w:rPr>
        <w:t>5</w:t>
      </w:r>
      <w:r w:rsidR="00F043FB">
        <w:rPr>
          <w:sz w:val="20"/>
          <w:szCs w:val="20"/>
        </w:rPr>
        <w:t>)</w:t>
      </w:r>
      <w:r w:rsidRPr="003F5D3D">
        <w:rPr>
          <w:sz w:val="20"/>
          <w:szCs w:val="20"/>
        </w:rPr>
        <w:t xml:space="preserve"> 43</w:t>
      </w:r>
      <w:r w:rsidR="00D15164">
        <w:rPr>
          <w:sz w:val="20"/>
          <w:szCs w:val="20"/>
        </w:rPr>
        <w:t>.</w:t>
      </w:r>
    </w:p>
  </w:footnote>
  <w:footnote w:id="17">
    <w:p w14:paraId="00000084" w14:textId="33D3428D" w:rsidR="0011027D" w:rsidRPr="003F5D3D" w:rsidRDefault="0011027D" w:rsidP="003F5D3D">
      <w:pPr>
        <w:jc w:val="both"/>
        <w:rPr>
          <w:sz w:val="20"/>
          <w:szCs w:val="20"/>
        </w:rPr>
      </w:pPr>
      <w:r w:rsidRPr="003F5D3D">
        <w:rPr>
          <w:sz w:val="20"/>
          <w:szCs w:val="20"/>
          <w:vertAlign w:val="superscript"/>
        </w:rPr>
        <w:footnoteRef/>
      </w:r>
      <w:r w:rsidRPr="003F5D3D">
        <w:rPr>
          <w:sz w:val="20"/>
          <w:szCs w:val="20"/>
        </w:rPr>
        <w:t xml:space="preserve"> </w:t>
      </w:r>
      <w:proofErr w:type="spellStart"/>
      <w:r w:rsidRPr="003F5D3D">
        <w:rPr>
          <w:sz w:val="20"/>
          <w:szCs w:val="20"/>
        </w:rPr>
        <w:t>Chinkin</w:t>
      </w:r>
      <w:proofErr w:type="spellEnd"/>
      <w:r w:rsidR="00D15164">
        <w:rPr>
          <w:sz w:val="20"/>
          <w:szCs w:val="20"/>
        </w:rPr>
        <w:t xml:space="preserve"> (n 1</w:t>
      </w:r>
      <w:r w:rsidR="00FD4A0E">
        <w:rPr>
          <w:sz w:val="20"/>
          <w:szCs w:val="20"/>
        </w:rPr>
        <w:t>5</w:t>
      </w:r>
      <w:r w:rsidR="00D15164">
        <w:rPr>
          <w:sz w:val="20"/>
          <w:szCs w:val="20"/>
        </w:rPr>
        <w:t xml:space="preserve">) </w:t>
      </w:r>
      <w:r w:rsidRPr="003F5D3D">
        <w:rPr>
          <w:sz w:val="20"/>
          <w:szCs w:val="20"/>
        </w:rPr>
        <w:t>45</w:t>
      </w:r>
      <w:r w:rsidR="00D15164">
        <w:rPr>
          <w:sz w:val="20"/>
          <w:szCs w:val="20"/>
        </w:rPr>
        <w:t>.</w:t>
      </w:r>
    </w:p>
  </w:footnote>
  <w:footnote w:id="18">
    <w:p w14:paraId="00000085" w14:textId="61C80F53" w:rsidR="0011027D" w:rsidRPr="003F5D3D" w:rsidRDefault="0011027D" w:rsidP="003F5D3D">
      <w:pPr>
        <w:jc w:val="both"/>
        <w:rPr>
          <w:sz w:val="20"/>
          <w:szCs w:val="20"/>
          <w:vertAlign w:val="superscript"/>
        </w:rPr>
      </w:pPr>
      <w:r w:rsidRPr="003F5D3D">
        <w:rPr>
          <w:sz w:val="20"/>
          <w:szCs w:val="20"/>
          <w:vertAlign w:val="superscript"/>
        </w:rPr>
        <w:footnoteRef/>
      </w:r>
      <w:r w:rsidRPr="003F5D3D">
        <w:rPr>
          <w:sz w:val="20"/>
          <w:szCs w:val="20"/>
          <w:vertAlign w:val="superscript"/>
        </w:rPr>
        <w:t xml:space="preserve"> </w:t>
      </w:r>
      <w:r w:rsidRPr="003365D1">
        <w:rPr>
          <w:sz w:val="20"/>
          <w:szCs w:val="20"/>
        </w:rPr>
        <w:t>Michael Wood</w:t>
      </w:r>
      <w:r w:rsidR="003365D1" w:rsidRPr="003365D1">
        <w:rPr>
          <w:sz w:val="20"/>
          <w:szCs w:val="20"/>
        </w:rPr>
        <w:t xml:space="preserve">, </w:t>
      </w:r>
      <w:r w:rsidR="003365D1" w:rsidRPr="003365D1">
        <w:rPr>
          <w:i/>
          <w:iCs/>
          <w:sz w:val="20"/>
          <w:szCs w:val="20"/>
        </w:rPr>
        <w:t xml:space="preserve">The UN Security Council and International Law </w:t>
      </w:r>
      <w:r w:rsidR="003365D1" w:rsidRPr="003365D1">
        <w:rPr>
          <w:sz w:val="20"/>
          <w:szCs w:val="20"/>
        </w:rPr>
        <w:t>(Cambridge University Press, 2022)</w:t>
      </w:r>
      <w:r w:rsidRPr="003365D1">
        <w:rPr>
          <w:sz w:val="20"/>
          <w:szCs w:val="20"/>
        </w:rPr>
        <w:t xml:space="preserve"> 182</w:t>
      </w:r>
      <w:r w:rsidR="00A95430">
        <w:rPr>
          <w:sz w:val="20"/>
          <w:szCs w:val="20"/>
        </w:rPr>
        <w:t>.</w:t>
      </w:r>
    </w:p>
  </w:footnote>
  <w:footnote w:id="19">
    <w:p w14:paraId="0000008A" w14:textId="0C30EBAA" w:rsidR="0011027D" w:rsidRPr="003D2409" w:rsidRDefault="0011027D" w:rsidP="003D2409">
      <w:pPr>
        <w:pStyle w:val="NormalWeb"/>
      </w:pPr>
      <w:r w:rsidRPr="003F5D3D">
        <w:rPr>
          <w:sz w:val="20"/>
          <w:szCs w:val="20"/>
          <w:vertAlign w:val="superscript"/>
        </w:rPr>
        <w:footnoteRef/>
      </w:r>
      <w:r w:rsidRPr="003F5D3D">
        <w:rPr>
          <w:sz w:val="20"/>
          <w:szCs w:val="20"/>
          <w:vertAlign w:val="superscript"/>
        </w:rPr>
        <w:t xml:space="preserve"> </w:t>
      </w:r>
      <w:r w:rsidRPr="002D78F1">
        <w:rPr>
          <w:sz w:val="20"/>
          <w:szCs w:val="20"/>
        </w:rPr>
        <w:t>See for example</w:t>
      </w:r>
      <w:r w:rsidR="00A95430">
        <w:rPr>
          <w:sz w:val="20"/>
          <w:szCs w:val="20"/>
        </w:rPr>
        <w:t xml:space="preserve">, inclusion of </w:t>
      </w:r>
      <w:r w:rsidR="00836FBC">
        <w:rPr>
          <w:sz w:val="20"/>
          <w:szCs w:val="20"/>
        </w:rPr>
        <w:t xml:space="preserve">implementation of </w:t>
      </w:r>
      <w:r w:rsidR="00A95430">
        <w:rPr>
          <w:sz w:val="20"/>
          <w:szCs w:val="20"/>
        </w:rPr>
        <w:t xml:space="preserve">the </w:t>
      </w:r>
      <w:r w:rsidRPr="002D78F1">
        <w:rPr>
          <w:sz w:val="20"/>
          <w:szCs w:val="20"/>
        </w:rPr>
        <w:t xml:space="preserve">WPS </w:t>
      </w:r>
      <w:r w:rsidR="00A95430">
        <w:rPr>
          <w:sz w:val="20"/>
          <w:szCs w:val="20"/>
        </w:rPr>
        <w:t xml:space="preserve">agenda in the </w:t>
      </w:r>
      <w:r w:rsidRPr="002D78F1">
        <w:rPr>
          <w:sz w:val="20"/>
          <w:szCs w:val="20"/>
        </w:rPr>
        <w:t>mission mandate renewal resolution for the UNAMA mission in Afghanistan (UNSC Resolution 2543, S/Res 2543, 15 September 2020) and for the renewal of MINUSMA in Mali in 2020 (UNSC Resolution 2480, S/Res 2480, 28 June 2019)</w:t>
      </w:r>
      <w:r w:rsidR="00A95430">
        <w:rPr>
          <w:sz w:val="20"/>
          <w:szCs w:val="20"/>
        </w:rPr>
        <w:t>.</w:t>
      </w:r>
    </w:p>
  </w:footnote>
  <w:footnote w:id="20">
    <w:p w14:paraId="573CD5E0" w14:textId="2AF26D18" w:rsidR="00077C87" w:rsidRDefault="00077C87">
      <w:pPr>
        <w:pStyle w:val="FootnoteText"/>
      </w:pPr>
      <w:r>
        <w:rPr>
          <w:rStyle w:val="FootnoteReference"/>
        </w:rPr>
        <w:footnoteRef/>
      </w:r>
      <w:r>
        <w:t xml:space="preserve"> </w:t>
      </w:r>
      <w:r w:rsidR="00DB2386">
        <w:rPr>
          <w:lang w:val="en-US"/>
        </w:rPr>
        <w:t>O’Rourke and Swaine (n 9)</w:t>
      </w:r>
      <w:r w:rsidR="00A140CE">
        <w:rPr>
          <w:lang w:val="en-US"/>
        </w:rPr>
        <w:t>.</w:t>
      </w:r>
    </w:p>
  </w:footnote>
  <w:footnote w:id="21">
    <w:p w14:paraId="21632FDF" w14:textId="1D81393D" w:rsidR="00285EBC" w:rsidRPr="00285EBC" w:rsidRDefault="00327F03" w:rsidP="00285EBC">
      <w:pPr>
        <w:pStyle w:val="FootnoteText"/>
        <w:rPr>
          <w:b/>
          <w:bCs/>
        </w:rPr>
      </w:pPr>
      <w:r>
        <w:rPr>
          <w:rStyle w:val="FootnoteReference"/>
        </w:rPr>
        <w:footnoteRef/>
      </w:r>
      <w:r>
        <w:t xml:space="preserve"> </w:t>
      </w:r>
      <w:r w:rsidR="001A2A3E">
        <w:t>To date of publication, 104 UN members states (54%), have adopted national action pl</w:t>
      </w:r>
      <w:r w:rsidR="00285EBC">
        <w:t>ans. See</w:t>
      </w:r>
      <w:r w:rsidR="00A140CE">
        <w:t xml:space="preserve"> the</w:t>
      </w:r>
      <w:r w:rsidR="00285EBC">
        <w:t xml:space="preserve"> </w:t>
      </w:r>
    </w:p>
    <w:p w14:paraId="2DEB31C7" w14:textId="0C07E4E1" w:rsidR="00327F03" w:rsidRDefault="001A2A3E">
      <w:pPr>
        <w:pStyle w:val="FootnoteText"/>
      </w:pPr>
      <w:r>
        <w:t>Peace Women</w:t>
      </w:r>
      <w:r w:rsidR="00285EBC">
        <w:t xml:space="preserve"> website </w:t>
      </w:r>
      <w:r>
        <w:t>for full list of plans:</w:t>
      </w:r>
      <w:r w:rsidR="00285EBC">
        <w:t xml:space="preserve"> ‘1325 National Action Plans:</w:t>
      </w:r>
      <w:r w:rsidR="00285EBC" w:rsidRPr="00285EBC">
        <w:t xml:space="preserve"> WILPF Monitoring and Analysis of National Action Plans on Women, Peace and Security</w:t>
      </w:r>
      <w:r w:rsidR="00285EBC">
        <w:t>’</w:t>
      </w:r>
      <w:r>
        <w:t xml:space="preserve"> </w:t>
      </w:r>
      <w:r w:rsidR="00285EBC">
        <w:t>&lt;</w:t>
      </w:r>
      <w:r w:rsidRPr="001A2A3E">
        <w:t>http://1325naps.peacewomen.org/</w:t>
      </w:r>
      <w:r w:rsidR="00285EBC">
        <w:t>&gt;</w:t>
      </w:r>
    </w:p>
  </w:footnote>
  <w:footnote w:id="22">
    <w:p w14:paraId="00000086" w14:textId="66CF692A" w:rsidR="0011027D" w:rsidRPr="00F84368" w:rsidRDefault="0011027D" w:rsidP="003F5D3D">
      <w:pPr>
        <w:jc w:val="both"/>
        <w:rPr>
          <w:sz w:val="20"/>
          <w:szCs w:val="20"/>
          <w:vertAlign w:val="superscript"/>
        </w:rPr>
      </w:pPr>
      <w:r w:rsidRPr="00F84368">
        <w:rPr>
          <w:sz w:val="20"/>
          <w:szCs w:val="20"/>
          <w:vertAlign w:val="superscript"/>
        </w:rPr>
        <w:footnoteRef/>
      </w:r>
      <w:r w:rsidRPr="00F84368">
        <w:rPr>
          <w:sz w:val="20"/>
          <w:szCs w:val="20"/>
          <w:vertAlign w:val="superscript"/>
        </w:rPr>
        <w:t xml:space="preserve"> </w:t>
      </w:r>
      <w:proofErr w:type="spellStart"/>
      <w:r w:rsidRPr="003F5D3D">
        <w:rPr>
          <w:sz w:val="20"/>
          <w:szCs w:val="20"/>
        </w:rPr>
        <w:t>Chinkin</w:t>
      </w:r>
      <w:proofErr w:type="spellEnd"/>
      <w:r w:rsidR="00D15164">
        <w:rPr>
          <w:sz w:val="20"/>
          <w:szCs w:val="20"/>
        </w:rPr>
        <w:t xml:space="preserve"> (n 1</w:t>
      </w:r>
      <w:r w:rsidR="00FD4A0E">
        <w:rPr>
          <w:sz w:val="20"/>
          <w:szCs w:val="20"/>
        </w:rPr>
        <w:t>5</w:t>
      </w:r>
      <w:r w:rsidR="00D15164">
        <w:rPr>
          <w:sz w:val="20"/>
          <w:szCs w:val="20"/>
        </w:rPr>
        <w:t>)</w:t>
      </w:r>
      <w:r>
        <w:rPr>
          <w:sz w:val="20"/>
          <w:szCs w:val="20"/>
        </w:rPr>
        <w:t xml:space="preserve"> </w:t>
      </w:r>
      <w:r w:rsidRPr="002D736A">
        <w:rPr>
          <w:sz w:val="20"/>
          <w:szCs w:val="20"/>
        </w:rPr>
        <w:t>56</w:t>
      </w:r>
      <w:r w:rsidR="00D15164">
        <w:rPr>
          <w:sz w:val="20"/>
          <w:szCs w:val="20"/>
        </w:rPr>
        <w:t>.</w:t>
      </w:r>
    </w:p>
  </w:footnote>
  <w:footnote w:id="23">
    <w:p w14:paraId="00000087" w14:textId="7DBE1AC1" w:rsidR="0011027D" w:rsidRPr="00F84368" w:rsidRDefault="0011027D" w:rsidP="003F5D3D">
      <w:pPr>
        <w:jc w:val="both"/>
        <w:rPr>
          <w:sz w:val="20"/>
          <w:szCs w:val="20"/>
          <w:vertAlign w:val="superscript"/>
        </w:rPr>
      </w:pPr>
      <w:r w:rsidRPr="00F84368">
        <w:rPr>
          <w:sz w:val="20"/>
          <w:szCs w:val="20"/>
          <w:vertAlign w:val="superscript"/>
        </w:rPr>
        <w:footnoteRef/>
      </w:r>
      <w:r w:rsidRPr="00F84368">
        <w:rPr>
          <w:sz w:val="20"/>
          <w:szCs w:val="20"/>
          <w:vertAlign w:val="superscript"/>
        </w:rPr>
        <w:t xml:space="preserve"> </w:t>
      </w:r>
      <w:proofErr w:type="spellStart"/>
      <w:r w:rsidRPr="003F5D3D">
        <w:rPr>
          <w:sz w:val="20"/>
          <w:szCs w:val="20"/>
        </w:rPr>
        <w:t>Chinkin</w:t>
      </w:r>
      <w:proofErr w:type="spellEnd"/>
      <w:r>
        <w:rPr>
          <w:sz w:val="20"/>
          <w:szCs w:val="20"/>
        </w:rPr>
        <w:t xml:space="preserve"> </w:t>
      </w:r>
      <w:r w:rsidR="00D15164">
        <w:rPr>
          <w:sz w:val="20"/>
          <w:szCs w:val="20"/>
        </w:rPr>
        <w:t>(n 1</w:t>
      </w:r>
      <w:r w:rsidR="00FD4A0E">
        <w:rPr>
          <w:sz w:val="20"/>
          <w:szCs w:val="20"/>
        </w:rPr>
        <w:t>5</w:t>
      </w:r>
      <w:r w:rsidR="00D15164">
        <w:rPr>
          <w:sz w:val="20"/>
          <w:szCs w:val="20"/>
        </w:rPr>
        <w:t>)</w:t>
      </w:r>
      <w:r>
        <w:rPr>
          <w:sz w:val="20"/>
          <w:szCs w:val="20"/>
        </w:rPr>
        <w:t xml:space="preserve"> </w:t>
      </w:r>
      <w:r w:rsidRPr="002D736A">
        <w:rPr>
          <w:sz w:val="20"/>
          <w:szCs w:val="20"/>
        </w:rPr>
        <w:t>66-67</w:t>
      </w:r>
      <w:r w:rsidR="00D15164">
        <w:rPr>
          <w:sz w:val="20"/>
          <w:szCs w:val="20"/>
        </w:rPr>
        <w:t>.</w:t>
      </w:r>
    </w:p>
  </w:footnote>
  <w:footnote w:id="24">
    <w:p w14:paraId="00000088" w14:textId="1322F031" w:rsidR="0011027D" w:rsidRPr="003365D1" w:rsidRDefault="0011027D" w:rsidP="00A140CE">
      <w:pPr>
        <w:pStyle w:val="NormalWeb"/>
        <w:rPr>
          <w:lang w:eastAsia="en-GB" w:bidi="ar-SA"/>
        </w:rPr>
      </w:pPr>
      <w:r w:rsidRPr="00F84368">
        <w:rPr>
          <w:sz w:val="20"/>
          <w:szCs w:val="20"/>
          <w:vertAlign w:val="superscript"/>
        </w:rPr>
        <w:footnoteRef/>
      </w:r>
      <w:r w:rsidRPr="00F84368">
        <w:rPr>
          <w:sz w:val="20"/>
          <w:szCs w:val="20"/>
          <w:vertAlign w:val="superscript"/>
        </w:rPr>
        <w:t xml:space="preserve"> </w:t>
      </w:r>
      <w:r w:rsidR="003365D1">
        <w:rPr>
          <w:sz w:val="20"/>
          <w:szCs w:val="20"/>
          <w:vertAlign w:val="superscript"/>
        </w:rPr>
        <w:t xml:space="preserve"> </w:t>
      </w:r>
      <w:r w:rsidR="003365D1" w:rsidRPr="003365D1">
        <w:rPr>
          <w:sz w:val="20"/>
          <w:szCs w:val="20"/>
        </w:rPr>
        <w:t xml:space="preserve">Catherine </w:t>
      </w:r>
      <w:r w:rsidRPr="003365D1">
        <w:rPr>
          <w:sz w:val="20"/>
          <w:szCs w:val="20"/>
        </w:rPr>
        <w:t>Turner</w:t>
      </w:r>
      <w:r w:rsidR="003365D1" w:rsidRPr="003365D1">
        <w:rPr>
          <w:sz w:val="20"/>
          <w:szCs w:val="20"/>
        </w:rPr>
        <w:t xml:space="preserve">, ‘International Law and the Securitisation of </w:t>
      </w:r>
      <w:proofErr w:type="spellStart"/>
      <w:r w:rsidR="003365D1" w:rsidRPr="003365D1">
        <w:rPr>
          <w:sz w:val="20"/>
          <w:szCs w:val="20"/>
        </w:rPr>
        <w:t>Peacemaking</w:t>
      </w:r>
      <w:proofErr w:type="spellEnd"/>
      <w:r w:rsidR="003365D1" w:rsidRPr="003365D1">
        <w:rPr>
          <w:sz w:val="20"/>
          <w:szCs w:val="20"/>
        </w:rPr>
        <w:t>: On Chapter VII, the Security Council and the Mediation Mandate for Yemen</w:t>
      </w:r>
      <w:r w:rsidRPr="003365D1">
        <w:rPr>
          <w:sz w:val="20"/>
          <w:szCs w:val="20"/>
        </w:rPr>
        <w:t xml:space="preserve"> (2022) J</w:t>
      </w:r>
      <w:r w:rsidR="003365D1" w:rsidRPr="003365D1">
        <w:rPr>
          <w:sz w:val="20"/>
          <w:szCs w:val="20"/>
        </w:rPr>
        <w:t xml:space="preserve">ournal of </w:t>
      </w:r>
      <w:r w:rsidRPr="003365D1">
        <w:rPr>
          <w:sz w:val="20"/>
          <w:szCs w:val="20"/>
        </w:rPr>
        <w:t>C</w:t>
      </w:r>
      <w:r w:rsidR="003365D1" w:rsidRPr="003365D1">
        <w:rPr>
          <w:sz w:val="20"/>
          <w:szCs w:val="20"/>
        </w:rPr>
        <w:t xml:space="preserve">onflict and </w:t>
      </w:r>
      <w:r w:rsidRPr="003365D1">
        <w:rPr>
          <w:sz w:val="20"/>
          <w:szCs w:val="20"/>
        </w:rPr>
        <w:t>S</w:t>
      </w:r>
      <w:r w:rsidR="003365D1" w:rsidRPr="003365D1">
        <w:rPr>
          <w:sz w:val="20"/>
          <w:szCs w:val="20"/>
        </w:rPr>
        <w:t xml:space="preserve">ecurity </w:t>
      </w:r>
      <w:r w:rsidRPr="003365D1">
        <w:rPr>
          <w:sz w:val="20"/>
          <w:szCs w:val="20"/>
        </w:rPr>
        <w:t>L</w:t>
      </w:r>
      <w:r w:rsidR="003365D1" w:rsidRPr="003365D1">
        <w:rPr>
          <w:sz w:val="20"/>
          <w:szCs w:val="20"/>
        </w:rPr>
        <w:t>aw</w:t>
      </w:r>
      <w:r w:rsidR="003365D1">
        <w:rPr>
          <w:sz w:val="20"/>
          <w:szCs w:val="20"/>
        </w:rPr>
        <w:t xml:space="preserve">. </w:t>
      </w:r>
      <w:hyperlink r:id="rId1" w:history="1">
        <w:r w:rsidR="00A140CE" w:rsidRPr="00A140CE">
          <w:rPr>
            <w:rStyle w:val="Hyperlink"/>
            <w:sz w:val="20"/>
            <w:szCs w:val="20"/>
          </w:rPr>
          <w:t>&lt;</w:t>
        </w:r>
        <w:r w:rsidR="003365D1" w:rsidRPr="00A140CE">
          <w:rPr>
            <w:rStyle w:val="Hyperlink"/>
            <w:sz w:val="20"/>
            <w:szCs w:val="20"/>
          </w:rPr>
          <w:t>Https://doi.org/10.1093/jcsl/krac031</w:t>
        </w:r>
        <w:r w:rsidR="00A140CE" w:rsidRPr="00A140CE">
          <w:rPr>
            <w:rStyle w:val="Hyperlink"/>
            <w:sz w:val="20"/>
            <w:szCs w:val="20"/>
          </w:rPr>
          <w:t>&gt;</w:t>
        </w:r>
      </w:hyperlink>
    </w:p>
  </w:footnote>
  <w:footnote w:id="25">
    <w:p w14:paraId="00000089" w14:textId="2A7EBC25" w:rsidR="0011027D" w:rsidRPr="002D736A" w:rsidRDefault="0011027D" w:rsidP="002D736A">
      <w:pPr>
        <w:pStyle w:val="NormalWeb"/>
      </w:pPr>
      <w:r w:rsidRPr="00F84368">
        <w:rPr>
          <w:sz w:val="20"/>
          <w:szCs w:val="20"/>
          <w:vertAlign w:val="superscript"/>
        </w:rPr>
        <w:footnoteRef/>
      </w:r>
      <w:r>
        <w:rPr>
          <w:sz w:val="20"/>
          <w:szCs w:val="20"/>
          <w:vertAlign w:val="superscript"/>
        </w:rPr>
        <w:t xml:space="preserve">  </w:t>
      </w:r>
      <w:r>
        <w:rPr>
          <w:sz w:val="20"/>
          <w:szCs w:val="20"/>
        </w:rPr>
        <w:t>Laura S</w:t>
      </w:r>
      <w:r w:rsidRPr="002D736A">
        <w:rPr>
          <w:sz w:val="20"/>
          <w:szCs w:val="20"/>
        </w:rPr>
        <w:t>hepherd,</w:t>
      </w:r>
      <w:r>
        <w:rPr>
          <w:sz w:val="20"/>
          <w:szCs w:val="20"/>
        </w:rPr>
        <w:t xml:space="preserve"> ‘</w:t>
      </w:r>
      <w:r w:rsidRPr="002D736A">
        <w:rPr>
          <w:sz w:val="20"/>
          <w:szCs w:val="20"/>
        </w:rPr>
        <w:t>Power and Authority in the Production of United Nations Security Council Resolution 132</w:t>
      </w:r>
      <w:r>
        <w:rPr>
          <w:sz w:val="20"/>
          <w:szCs w:val="20"/>
        </w:rPr>
        <w:t>5’ (2008) 52 International Studies Quarterly</w:t>
      </w:r>
      <w:r w:rsidRPr="002D736A">
        <w:rPr>
          <w:rFonts w:ascii="AdvPSNBAS" w:hAnsi="AdvPSNBAS"/>
          <w:sz w:val="18"/>
          <w:szCs w:val="18"/>
        </w:rPr>
        <w:t xml:space="preserve"> 383</w:t>
      </w:r>
      <w:r w:rsidR="00D15164">
        <w:rPr>
          <w:rFonts w:ascii="AdvPSNBAS" w:hAnsi="AdvPSNBAS"/>
          <w:sz w:val="18"/>
          <w:szCs w:val="18"/>
        </w:rPr>
        <w:t>,</w:t>
      </w:r>
      <w:r>
        <w:rPr>
          <w:rFonts w:ascii="AdvPSNBAS" w:hAnsi="AdvPSNBAS"/>
          <w:sz w:val="18"/>
          <w:szCs w:val="18"/>
        </w:rPr>
        <w:t xml:space="preserve"> </w:t>
      </w:r>
      <w:r w:rsidRPr="002D736A">
        <w:rPr>
          <w:sz w:val="20"/>
          <w:szCs w:val="20"/>
        </w:rPr>
        <w:t>385</w:t>
      </w:r>
      <w:r w:rsidR="00D15164">
        <w:rPr>
          <w:sz w:val="20"/>
          <w:szCs w:val="20"/>
        </w:rPr>
        <w:t>.</w:t>
      </w:r>
    </w:p>
  </w:footnote>
  <w:footnote w:id="26">
    <w:p w14:paraId="54B948A0" w14:textId="41D572CA" w:rsidR="0011027D" w:rsidRPr="003F5D3D" w:rsidRDefault="0011027D" w:rsidP="00B637CF">
      <w:pPr>
        <w:jc w:val="both"/>
        <w:rPr>
          <w:sz w:val="20"/>
          <w:szCs w:val="20"/>
        </w:rPr>
      </w:pPr>
      <w:r w:rsidRPr="003F5D3D">
        <w:rPr>
          <w:sz w:val="20"/>
          <w:szCs w:val="20"/>
          <w:vertAlign w:val="superscript"/>
        </w:rPr>
        <w:footnoteRef/>
      </w:r>
      <w:r w:rsidRPr="003F5D3D">
        <w:rPr>
          <w:sz w:val="20"/>
          <w:szCs w:val="20"/>
        </w:rPr>
        <w:t xml:space="preserve"> See Marie O’Reilly, ‘Where the WPS Pillars Intersect’ in Sara Davies and Jacqui True (</w:t>
      </w:r>
      <w:proofErr w:type="spellStart"/>
      <w:r w:rsidRPr="003F5D3D">
        <w:rPr>
          <w:sz w:val="20"/>
          <w:szCs w:val="20"/>
        </w:rPr>
        <w:t>esd</w:t>
      </w:r>
      <w:proofErr w:type="spellEnd"/>
      <w:r w:rsidRPr="003F5D3D">
        <w:rPr>
          <w:sz w:val="20"/>
          <w:szCs w:val="20"/>
        </w:rPr>
        <w:t xml:space="preserve">) </w:t>
      </w:r>
      <w:r w:rsidRPr="00726944">
        <w:rPr>
          <w:i/>
          <w:iCs/>
          <w:sz w:val="20"/>
          <w:szCs w:val="20"/>
        </w:rPr>
        <w:t>Oxford Handbook on Women Peace and Security</w:t>
      </w:r>
      <w:r>
        <w:rPr>
          <w:sz w:val="20"/>
          <w:szCs w:val="20"/>
        </w:rPr>
        <w:t xml:space="preserve"> (</w:t>
      </w:r>
      <w:r w:rsidRPr="003F5D3D">
        <w:rPr>
          <w:sz w:val="20"/>
          <w:szCs w:val="20"/>
        </w:rPr>
        <w:t xml:space="preserve">Oxford </w:t>
      </w:r>
      <w:r w:rsidR="00D15164" w:rsidRPr="003F5D3D">
        <w:rPr>
          <w:sz w:val="20"/>
          <w:szCs w:val="20"/>
        </w:rPr>
        <w:t>University</w:t>
      </w:r>
      <w:r w:rsidRPr="003F5D3D">
        <w:rPr>
          <w:sz w:val="20"/>
          <w:szCs w:val="20"/>
        </w:rPr>
        <w:t xml:space="preserve"> Press 2018</w:t>
      </w:r>
      <w:r>
        <w:rPr>
          <w:sz w:val="20"/>
          <w:szCs w:val="20"/>
        </w:rPr>
        <w:t xml:space="preserve">) </w:t>
      </w:r>
      <w:r w:rsidRPr="003F5D3D">
        <w:rPr>
          <w:sz w:val="20"/>
          <w:szCs w:val="20"/>
        </w:rPr>
        <w:t>193</w:t>
      </w:r>
      <w:r w:rsidR="00D15164">
        <w:rPr>
          <w:sz w:val="20"/>
          <w:szCs w:val="20"/>
        </w:rPr>
        <w:t>.</w:t>
      </w:r>
    </w:p>
  </w:footnote>
  <w:footnote w:id="27">
    <w:p w14:paraId="1B4026EF" w14:textId="07CBA1BF" w:rsidR="009A5825" w:rsidRDefault="009A5825" w:rsidP="009A5825">
      <w:pPr>
        <w:pStyle w:val="FootnoteText"/>
      </w:pPr>
      <w:r w:rsidRPr="009A5825">
        <w:rPr>
          <w:rStyle w:val="FootnoteReference"/>
        </w:rPr>
        <w:footnoteRef/>
      </w:r>
      <w:r w:rsidRPr="009A5825">
        <w:t xml:space="preserve"> UNSC</w:t>
      </w:r>
      <w:r w:rsidRPr="00CC23BE">
        <w:t xml:space="preserve">. </w:t>
      </w:r>
      <w:r>
        <w:t>‘</w:t>
      </w:r>
      <w:r w:rsidRPr="00F043FB">
        <w:t>Women and peace and security, Report of the Secretary-General</w:t>
      </w:r>
      <w:r>
        <w:t>’ (28 September 2010) UN Doc.</w:t>
      </w:r>
      <w:r w:rsidRPr="00F043FB">
        <w:t xml:space="preserve"> </w:t>
      </w:r>
      <w:r w:rsidRPr="009A5825">
        <w:t>S/2010/498</w:t>
      </w:r>
      <w:r w:rsidR="00D37B74">
        <w:t xml:space="preserve"> </w:t>
      </w:r>
      <w:r w:rsidRPr="009A5825">
        <w:t>para 32-34</w:t>
      </w:r>
      <w:r w:rsidR="006F7762">
        <w:t>.</w:t>
      </w:r>
    </w:p>
  </w:footnote>
  <w:footnote w:id="28">
    <w:p w14:paraId="6324137D" w14:textId="7081607B" w:rsidR="0011027D" w:rsidRPr="00726944" w:rsidRDefault="0011027D" w:rsidP="00B637CF">
      <w:pPr>
        <w:jc w:val="both"/>
        <w:rPr>
          <w:sz w:val="20"/>
          <w:szCs w:val="20"/>
        </w:rPr>
      </w:pPr>
      <w:r w:rsidRPr="00726944">
        <w:rPr>
          <w:sz w:val="20"/>
          <w:szCs w:val="20"/>
          <w:vertAlign w:val="superscript"/>
        </w:rPr>
        <w:footnoteRef/>
      </w:r>
      <w:r w:rsidRPr="00726944">
        <w:rPr>
          <w:sz w:val="20"/>
          <w:szCs w:val="20"/>
        </w:rPr>
        <w:t xml:space="preserve"> O’Rourke and Swaine </w:t>
      </w:r>
      <w:r w:rsidR="00D15164">
        <w:rPr>
          <w:sz w:val="20"/>
          <w:szCs w:val="20"/>
        </w:rPr>
        <w:t xml:space="preserve">(n </w:t>
      </w:r>
      <w:r w:rsidR="00F267CB">
        <w:rPr>
          <w:sz w:val="20"/>
          <w:szCs w:val="20"/>
        </w:rPr>
        <w:t>9</w:t>
      </w:r>
      <w:r w:rsidR="00D15164">
        <w:rPr>
          <w:sz w:val="20"/>
          <w:szCs w:val="20"/>
        </w:rPr>
        <w:t>).</w:t>
      </w:r>
    </w:p>
  </w:footnote>
  <w:footnote w:id="29">
    <w:p w14:paraId="15FE4388" w14:textId="530BEEBF" w:rsidR="0011027D" w:rsidRPr="00726944" w:rsidRDefault="0011027D">
      <w:pPr>
        <w:pStyle w:val="FootnoteText"/>
      </w:pPr>
      <w:r w:rsidRPr="00726944">
        <w:rPr>
          <w:rStyle w:val="FootnoteReference"/>
        </w:rPr>
        <w:footnoteRef/>
      </w:r>
      <w:r w:rsidRPr="00726944">
        <w:t xml:space="preserve"> </w:t>
      </w:r>
      <w:r w:rsidRPr="00726944">
        <w:rPr>
          <w:highlight w:val="white"/>
        </w:rPr>
        <w:t xml:space="preserve">Werner and </w:t>
      </w:r>
      <w:proofErr w:type="spellStart"/>
      <w:r w:rsidRPr="00726944">
        <w:rPr>
          <w:highlight w:val="white"/>
        </w:rPr>
        <w:t>Stavrevska</w:t>
      </w:r>
      <w:proofErr w:type="spellEnd"/>
      <w:r w:rsidRPr="00726944">
        <w:rPr>
          <w:highlight w:val="white"/>
        </w:rPr>
        <w:t xml:space="preserve"> </w:t>
      </w:r>
      <w:r w:rsidR="00D15164">
        <w:t>(n 1</w:t>
      </w:r>
      <w:r w:rsidR="00FD4A0E">
        <w:t>3</w:t>
      </w:r>
      <w:r w:rsidR="00D15164">
        <w:t>).</w:t>
      </w:r>
    </w:p>
  </w:footnote>
  <w:footnote w:id="30">
    <w:p w14:paraId="42D35BC1" w14:textId="620B7FF2" w:rsidR="006D61B8" w:rsidRPr="00726944" w:rsidRDefault="0011027D" w:rsidP="006D61B8">
      <w:pPr>
        <w:jc w:val="both"/>
        <w:rPr>
          <w:sz w:val="20"/>
          <w:szCs w:val="20"/>
        </w:rPr>
      </w:pPr>
      <w:r w:rsidRPr="00726944">
        <w:rPr>
          <w:sz w:val="20"/>
          <w:szCs w:val="20"/>
          <w:vertAlign w:val="superscript"/>
        </w:rPr>
        <w:footnoteRef/>
      </w:r>
      <w:r w:rsidRPr="00726944">
        <w:rPr>
          <w:sz w:val="20"/>
          <w:szCs w:val="20"/>
        </w:rPr>
        <w:t xml:space="preserve"> </w:t>
      </w:r>
      <w:r w:rsidR="006D61B8">
        <w:rPr>
          <w:sz w:val="20"/>
          <w:szCs w:val="20"/>
        </w:rPr>
        <w:t xml:space="preserve">Maria </w:t>
      </w:r>
      <w:r w:rsidR="006D61B8" w:rsidRPr="006D61B8">
        <w:rPr>
          <w:sz w:val="20"/>
          <w:szCs w:val="20"/>
        </w:rPr>
        <w:t xml:space="preserve">Martin de Almagro, </w:t>
      </w:r>
      <w:r w:rsidR="00023B5C">
        <w:rPr>
          <w:sz w:val="20"/>
          <w:szCs w:val="20"/>
        </w:rPr>
        <w:t>‘</w:t>
      </w:r>
      <w:r w:rsidR="006D61B8" w:rsidRPr="006D61B8">
        <w:rPr>
          <w:sz w:val="20"/>
          <w:szCs w:val="20"/>
        </w:rPr>
        <w:t>Producing Participants: Gender, Race, Class, and Women, Peace and Security</w:t>
      </w:r>
      <w:proofErr w:type="gramStart"/>
      <w:r w:rsidR="00023B5C">
        <w:rPr>
          <w:sz w:val="20"/>
          <w:szCs w:val="20"/>
        </w:rPr>
        <w:t xml:space="preserve">’  </w:t>
      </w:r>
      <w:r w:rsidR="00023B5C" w:rsidRPr="006D61B8">
        <w:rPr>
          <w:sz w:val="20"/>
          <w:szCs w:val="20"/>
        </w:rPr>
        <w:t>2018</w:t>
      </w:r>
      <w:proofErr w:type="gramEnd"/>
      <w:r w:rsidR="00023B5C" w:rsidRPr="006D61B8">
        <w:rPr>
          <w:sz w:val="20"/>
          <w:szCs w:val="20"/>
        </w:rPr>
        <w:t>) 32</w:t>
      </w:r>
      <w:r w:rsidR="00023B5C">
        <w:rPr>
          <w:sz w:val="20"/>
          <w:szCs w:val="20"/>
        </w:rPr>
        <w:t xml:space="preserve">, 4 </w:t>
      </w:r>
      <w:r w:rsidR="006D61B8" w:rsidRPr="006D61B8">
        <w:rPr>
          <w:sz w:val="20"/>
          <w:szCs w:val="20"/>
        </w:rPr>
        <w:t>Global Society</w:t>
      </w:r>
      <w:r w:rsidR="00023B5C">
        <w:rPr>
          <w:sz w:val="20"/>
          <w:szCs w:val="20"/>
        </w:rPr>
        <w:t xml:space="preserve"> </w:t>
      </w:r>
      <w:r w:rsidR="006D61B8" w:rsidRPr="006D61B8">
        <w:rPr>
          <w:sz w:val="20"/>
          <w:szCs w:val="20"/>
        </w:rPr>
        <w:t>39</w:t>
      </w:r>
      <w:r w:rsidR="00023B5C">
        <w:rPr>
          <w:sz w:val="20"/>
          <w:szCs w:val="20"/>
        </w:rPr>
        <w:t>5.</w:t>
      </w:r>
    </w:p>
  </w:footnote>
  <w:footnote w:id="31">
    <w:p w14:paraId="50C19E7A" w14:textId="20833C25" w:rsidR="0011027D" w:rsidRPr="00726944" w:rsidRDefault="0011027D" w:rsidP="003D4F74">
      <w:pPr>
        <w:rPr>
          <w:sz w:val="20"/>
          <w:szCs w:val="20"/>
          <w:lang w:bidi="ar-SA"/>
        </w:rPr>
      </w:pPr>
      <w:r w:rsidRPr="00726944">
        <w:rPr>
          <w:sz w:val="20"/>
          <w:szCs w:val="20"/>
          <w:vertAlign w:val="superscript"/>
        </w:rPr>
        <w:footnoteRef/>
      </w:r>
      <w:r w:rsidRPr="00726944">
        <w:rPr>
          <w:sz w:val="20"/>
          <w:szCs w:val="20"/>
          <w:lang w:bidi="ar-SA"/>
        </w:rPr>
        <w:t xml:space="preserve"> </w:t>
      </w:r>
      <w:r w:rsidR="00177B9E" w:rsidRPr="00177B9E">
        <w:rPr>
          <w:sz w:val="20"/>
          <w:szCs w:val="20"/>
          <w:lang w:bidi="ar-SA"/>
        </w:rPr>
        <w:t xml:space="preserve">Nadine Puechguirbal </w:t>
      </w:r>
      <w:r w:rsidR="00B725C8">
        <w:rPr>
          <w:sz w:val="20"/>
          <w:szCs w:val="20"/>
          <w:lang w:bidi="ar-SA"/>
        </w:rPr>
        <w:t>‘</w:t>
      </w:r>
      <w:r w:rsidR="00177B9E" w:rsidRPr="00177B9E">
        <w:rPr>
          <w:sz w:val="20"/>
          <w:szCs w:val="20"/>
          <w:lang w:bidi="ar-SA"/>
        </w:rPr>
        <w:t>Discourses on Gender, Patriarchy and Resolution 1325: A Textual Analysis of UN Documents</w:t>
      </w:r>
      <w:r w:rsidR="00B725C8">
        <w:rPr>
          <w:sz w:val="20"/>
          <w:szCs w:val="20"/>
          <w:lang w:bidi="ar-SA"/>
        </w:rPr>
        <w:t xml:space="preserve">’ </w:t>
      </w:r>
      <w:r w:rsidR="00B725C8" w:rsidRPr="00177B9E">
        <w:rPr>
          <w:sz w:val="20"/>
          <w:szCs w:val="20"/>
          <w:lang w:bidi="ar-SA"/>
        </w:rPr>
        <w:t>(2010)</w:t>
      </w:r>
      <w:r w:rsidR="00B725C8">
        <w:rPr>
          <w:sz w:val="20"/>
          <w:szCs w:val="20"/>
          <w:lang w:bidi="ar-SA"/>
        </w:rPr>
        <w:t xml:space="preserve"> 17, 2</w:t>
      </w:r>
      <w:r w:rsidR="00177B9E" w:rsidRPr="00177B9E">
        <w:rPr>
          <w:sz w:val="20"/>
          <w:szCs w:val="20"/>
          <w:lang w:bidi="ar-SA"/>
        </w:rPr>
        <w:t xml:space="preserve"> International Peacekeeping</w:t>
      </w:r>
      <w:r w:rsidR="00B725C8">
        <w:rPr>
          <w:sz w:val="20"/>
          <w:szCs w:val="20"/>
          <w:lang w:bidi="ar-SA"/>
        </w:rPr>
        <w:t xml:space="preserve"> 172.</w:t>
      </w:r>
      <w:r w:rsidR="00177B9E" w:rsidRPr="00177B9E">
        <w:rPr>
          <w:sz w:val="20"/>
          <w:szCs w:val="20"/>
          <w:lang w:bidi="ar-SA"/>
        </w:rPr>
        <w:t xml:space="preserve"> </w:t>
      </w:r>
    </w:p>
  </w:footnote>
  <w:footnote w:id="32">
    <w:p w14:paraId="2EE97F2B" w14:textId="6CAAF59A" w:rsidR="0011027D" w:rsidRPr="00726944" w:rsidRDefault="0011027D" w:rsidP="001E7EFD">
      <w:pPr>
        <w:jc w:val="both"/>
        <w:rPr>
          <w:sz w:val="20"/>
          <w:szCs w:val="20"/>
        </w:rPr>
      </w:pPr>
      <w:r w:rsidRPr="00726944">
        <w:rPr>
          <w:sz w:val="20"/>
          <w:szCs w:val="20"/>
          <w:vertAlign w:val="superscript"/>
        </w:rPr>
        <w:footnoteRef/>
      </w:r>
      <w:r w:rsidRPr="00726944">
        <w:rPr>
          <w:sz w:val="20"/>
          <w:szCs w:val="20"/>
        </w:rPr>
        <w:t xml:space="preserve"> UNSC Res 1325 (2000) </w:t>
      </w:r>
      <w:r w:rsidR="00D15164">
        <w:rPr>
          <w:sz w:val="20"/>
          <w:szCs w:val="20"/>
        </w:rPr>
        <w:t xml:space="preserve">UN Doc. </w:t>
      </w:r>
      <w:r w:rsidRPr="00726944">
        <w:rPr>
          <w:sz w:val="20"/>
          <w:szCs w:val="20"/>
        </w:rPr>
        <w:t>S/RES1325/2000, OP 1</w:t>
      </w:r>
      <w:r w:rsidR="00D15164">
        <w:rPr>
          <w:sz w:val="20"/>
          <w:szCs w:val="20"/>
        </w:rPr>
        <w:t>.</w:t>
      </w:r>
    </w:p>
  </w:footnote>
  <w:footnote w:id="33">
    <w:p w14:paraId="4EC06E16" w14:textId="22D02E31" w:rsidR="0011027D" w:rsidRPr="003F5D3D" w:rsidRDefault="0011027D" w:rsidP="001E7EFD">
      <w:pPr>
        <w:jc w:val="both"/>
        <w:rPr>
          <w:sz w:val="20"/>
          <w:szCs w:val="20"/>
        </w:rPr>
      </w:pPr>
      <w:r w:rsidRPr="00726944">
        <w:rPr>
          <w:sz w:val="20"/>
          <w:szCs w:val="20"/>
          <w:vertAlign w:val="superscript"/>
        </w:rPr>
        <w:footnoteRef/>
      </w:r>
      <w:r w:rsidRPr="00726944">
        <w:rPr>
          <w:sz w:val="20"/>
          <w:szCs w:val="20"/>
        </w:rPr>
        <w:t xml:space="preserve"> UNSC Res 1820 (2008) </w:t>
      </w:r>
      <w:r w:rsidR="00D15164">
        <w:rPr>
          <w:sz w:val="20"/>
          <w:szCs w:val="20"/>
        </w:rPr>
        <w:t xml:space="preserve">UN Doc. </w:t>
      </w:r>
      <w:r w:rsidRPr="00726944">
        <w:rPr>
          <w:sz w:val="20"/>
          <w:szCs w:val="20"/>
        </w:rPr>
        <w:t>S/RES1820/2008, OP 1</w:t>
      </w:r>
      <w:r w:rsidR="00D15164">
        <w:rPr>
          <w:sz w:val="20"/>
          <w:szCs w:val="20"/>
        </w:rPr>
        <w:t>.</w:t>
      </w:r>
    </w:p>
  </w:footnote>
  <w:footnote w:id="34">
    <w:p w14:paraId="474C172F" w14:textId="60521AC4" w:rsidR="0011027D" w:rsidRPr="00E86D64" w:rsidRDefault="0011027D" w:rsidP="001E7EFD">
      <w:pPr>
        <w:jc w:val="both"/>
        <w:rPr>
          <w:sz w:val="20"/>
          <w:szCs w:val="20"/>
        </w:rPr>
      </w:pPr>
      <w:r w:rsidRPr="00E86D64">
        <w:rPr>
          <w:sz w:val="20"/>
          <w:szCs w:val="20"/>
          <w:vertAlign w:val="superscript"/>
        </w:rPr>
        <w:footnoteRef/>
      </w:r>
      <w:r w:rsidRPr="00E86D64">
        <w:rPr>
          <w:sz w:val="20"/>
          <w:szCs w:val="20"/>
        </w:rPr>
        <w:t xml:space="preserve"> Sam Cook, ‘The ‘woman-in-conflict’ at the UN Security Council: a subject of practice’ (2016) 92 International Affairs 353</w:t>
      </w:r>
      <w:r w:rsidR="00D15164">
        <w:rPr>
          <w:sz w:val="20"/>
          <w:szCs w:val="20"/>
        </w:rPr>
        <w:t>,</w:t>
      </w:r>
      <w:r w:rsidRPr="00E86D64">
        <w:rPr>
          <w:sz w:val="20"/>
          <w:szCs w:val="20"/>
        </w:rPr>
        <w:t xml:space="preserve"> 354</w:t>
      </w:r>
      <w:r w:rsidR="00D15164">
        <w:rPr>
          <w:sz w:val="20"/>
          <w:szCs w:val="20"/>
        </w:rPr>
        <w:t>.</w:t>
      </w:r>
    </w:p>
  </w:footnote>
  <w:footnote w:id="35">
    <w:p w14:paraId="4D225412" w14:textId="5178567D" w:rsidR="0011027D" w:rsidRPr="00E86D64" w:rsidRDefault="0011027D" w:rsidP="00730503">
      <w:pPr>
        <w:jc w:val="both"/>
        <w:rPr>
          <w:sz w:val="20"/>
          <w:szCs w:val="20"/>
        </w:rPr>
      </w:pPr>
      <w:r w:rsidRPr="00E86D64">
        <w:rPr>
          <w:sz w:val="20"/>
          <w:szCs w:val="20"/>
          <w:vertAlign w:val="superscript"/>
        </w:rPr>
        <w:footnoteRef/>
      </w:r>
      <w:r w:rsidRPr="00E86D64">
        <w:rPr>
          <w:sz w:val="20"/>
          <w:szCs w:val="20"/>
        </w:rPr>
        <w:t xml:space="preserve"> Karen Engle, ‘The Grip of Sexual Violence: Reading United Nations Security Council Resolutions on Human Security in Gina Heathcote and Dianne Otto</w:t>
      </w:r>
      <w:r w:rsidRPr="00E86D64">
        <w:rPr>
          <w:i/>
          <w:iCs/>
          <w:sz w:val="20"/>
          <w:szCs w:val="20"/>
        </w:rPr>
        <w:t xml:space="preserve"> </w:t>
      </w:r>
      <w:r w:rsidRPr="00E86D64">
        <w:rPr>
          <w:sz w:val="20"/>
          <w:szCs w:val="20"/>
        </w:rPr>
        <w:t>(eds)</w:t>
      </w:r>
      <w:r w:rsidRPr="00E86D64">
        <w:rPr>
          <w:i/>
          <w:iCs/>
          <w:sz w:val="20"/>
          <w:szCs w:val="20"/>
        </w:rPr>
        <w:t xml:space="preserve"> Rethinking Peacekeeping, Gender Equality and Collective Security </w:t>
      </w:r>
      <w:r w:rsidRPr="00E86D64">
        <w:rPr>
          <w:sz w:val="20"/>
          <w:szCs w:val="20"/>
        </w:rPr>
        <w:t>(Palgrave 2014) 23</w:t>
      </w:r>
      <w:r w:rsidR="00D15164">
        <w:rPr>
          <w:sz w:val="20"/>
          <w:szCs w:val="20"/>
        </w:rPr>
        <w:t>.</w:t>
      </w:r>
    </w:p>
  </w:footnote>
  <w:footnote w:id="36">
    <w:p w14:paraId="754FD461" w14:textId="338F1990" w:rsidR="00CB444E" w:rsidRPr="00E86D64" w:rsidRDefault="0011027D" w:rsidP="00CB444E">
      <w:pPr>
        <w:jc w:val="both"/>
        <w:rPr>
          <w:sz w:val="20"/>
          <w:szCs w:val="20"/>
        </w:rPr>
      </w:pPr>
      <w:r w:rsidRPr="00E86D64">
        <w:rPr>
          <w:sz w:val="20"/>
          <w:szCs w:val="20"/>
          <w:vertAlign w:val="superscript"/>
        </w:rPr>
        <w:footnoteRef/>
      </w:r>
      <w:r w:rsidRPr="00E86D64">
        <w:rPr>
          <w:sz w:val="20"/>
          <w:szCs w:val="20"/>
        </w:rPr>
        <w:t xml:space="preserve"> UNHRC</w:t>
      </w:r>
      <w:r w:rsidR="00D15164">
        <w:rPr>
          <w:sz w:val="20"/>
          <w:szCs w:val="20"/>
        </w:rPr>
        <w:t xml:space="preserve"> (20</w:t>
      </w:r>
      <w:r w:rsidR="00CB444E">
        <w:rPr>
          <w:sz w:val="20"/>
          <w:szCs w:val="20"/>
        </w:rPr>
        <w:t>0</w:t>
      </w:r>
      <w:r w:rsidR="00D15164">
        <w:rPr>
          <w:sz w:val="20"/>
          <w:szCs w:val="20"/>
        </w:rPr>
        <w:t xml:space="preserve">4) (n </w:t>
      </w:r>
      <w:r w:rsidR="00CB444E">
        <w:rPr>
          <w:sz w:val="20"/>
          <w:szCs w:val="20"/>
        </w:rPr>
        <w:t>6</w:t>
      </w:r>
      <w:r w:rsidR="00D15164">
        <w:rPr>
          <w:sz w:val="20"/>
          <w:szCs w:val="20"/>
        </w:rPr>
        <w:t xml:space="preserve">); UNHRC (2010) (n </w:t>
      </w:r>
      <w:r w:rsidR="00CB444E">
        <w:rPr>
          <w:sz w:val="20"/>
          <w:szCs w:val="20"/>
        </w:rPr>
        <w:t>6</w:t>
      </w:r>
      <w:r w:rsidR="00D15164">
        <w:rPr>
          <w:sz w:val="20"/>
          <w:szCs w:val="20"/>
        </w:rPr>
        <w:t xml:space="preserve">); UNHRC (2019) (n </w:t>
      </w:r>
      <w:r w:rsidR="00CB444E">
        <w:rPr>
          <w:sz w:val="20"/>
          <w:szCs w:val="20"/>
        </w:rPr>
        <w:t>6</w:t>
      </w:r>
      <w:r w:rsidR="00D15164">
        <w:rPr>
          <w:sz w:val="20"/>
          <w:szCs w:val="20"/>
        </w:rPr>
        <w:t>).</w:t>
      </w:r>
    </w:p>
  </w:footnote>
  <w:footnote w:id="37">
    <w:p w14:paraId="507BC230" w14:textId="10A53FAA" w:rsidR="0011027D" w:rsidRPr="00E86D64" w:rsidRDefault="0011027D" w:rsidP="00B637CF">
      <w:pPr>
        <w:jc w:val="both"/>
        <w:rPr>
          <w:sz w:val="20"/>
          <w:szCs w:val="20"/>
          <w:vertAlign w:val="superscript"/>
        </w:rPr>
      </w:pPr>
      <w:r w:rsidRPr="00E86D64">
        <w:rPr>
          <w:sz w:val="20"/>
          <w:szCs w:val="20"/>
          <w:vertAlign w:val="superscript"/>
        </w:rPr>
        <w:footnoteRef/>
      </w:r>
      <w:r w:rsidRPr="00E86D64">
        <w:rPr>
          <w:sz w:val="20"/>
          <w:szCs w:val="20"/>
          <w:vertAlign w:val="superscript"/>
        </w:rPr>
        <w:t xml:space="preserve"> </w:t>
      </w:r>
      <w:r w:rsidRPr="00E86D64">
        <w:rPr>
          <w:sz w:val="20"/>
          <w:szCs w:val="20"/>
        </w:rPr>
        <w:t>UNSC</w:t>
      </w:r>
      <w:r w:rsidR="00D15164">
        <w:rPr>
          <w:sz w:val="20"/>
          <w:szCs w:val="20"/>
        </w:rPr>
        <w:t>,</w:t>
      </w:r>
      <w:r w:rsidRPr="00E86D64">
        <w:rPr>
          <w:sz w:val="20"/>
          <w:szCs w:val="20"/>
        </w:rPr>
        <w:t xml:space="preserve"> </w:t>
      </w:r>
      <w:r w:rsidR="00D15164">
        <w:rPr>
          <w:sz w:val="20"/>
          <w:szCs w:val="20"/>
        </w:rPr>
        <w:t>‘</w:t>
      </w:r>
      <w:r w:rsidRPr="00D15164">
        <w:rPr>
          <w:sz w:val="20"/>
          <w:szCs w:val="20"/>
        </w:rPr>
        <w:t>Women and peace and security: Report of the Secretary-General</w:t>
      </w:r>
      <w:r w:rsidR="00D15164">
        <w:rPr>
          <w:sz w:val="20"/>
          <w:szCs w:val="20"/>
        </w:rPr>
        <w:t xml:space="preserve">’ (9 October 2019) UN Doc. </w:t>
      </w:r>
      <w:r w:rsidRPr="00D15164">
        <w:rPr>
          <w:sz w:val="20"/>
          <w:szCs w:val="20"/>
        </w:rPr>
        <w:t>S/2019/800</w:t>
      </w:r>
      <w:r w:rsidR="00D15164">
        <w:rPr>
          <w:sz w:val="20"/>
          <w:szCs w:val="20"/>
        </w:rPr>
        <w:t>.</w:t>
      </w:r>
    </w:p>
  </w:footnote>
  <w:footnote w:id="38">
    <w:p w14:paraId="04A8DF9B" w14:textId="6A510F93" w:rsidR="0011027D" w:rsidRPr="00E86D64" w:rsidRDefault="0011027D">
      <w:pPr>
        <w:pStyle w:val="FootnoteText"/>
      </w:pPr>
      <w:r w:rsidRPr="00E86D64">
        <w:rPr>
          <w:rStyle w:val="FootnoteReference"/>
        </w:rPr>
        <w:footnoteRef/>
      </w:r>
      <w:r w:rsidRPr="00E86D64">
        <w:t xml:space="preserve"> UNSC</w:t>
      </w:r>
      <w:r w:rsidR="003310E8">
        <w:t xml:space="preserve"> (n 4) </w:t>
      </w:r>
      <w:r w:rsidR="00D15164">
        <w:t>p</w:t>
      </w:r>
      <w:r w:rsidRPr="00E86D64">
        <w:t>ara 56.</w:t>
      </w:r>
    </w:p>
  </w:footnote>
  <w:footnote w:id="39">
    <w:p w14:paraId="36D591B7" w14:textId="125DC18A" w:rsidR="0011027D" w:rsidRPr="003F5D3D" w:rsidRDefault="0011027D" w:rsidP="001E7EFD">
      <w:pPr>
        <w:jc w:val="both"/>
        <w:rPr>
          <w:sz w:val="20"/>
          <w:szCs w:val="20"/>
        </w:rPr>
      </w:pPr>
      <w:r w:rsidRPr="00E86D64">
        <w:rPr>
          <w:sz w:val="20"/>
          <w:szCs w:val="20"/>
          <w:vertAlign w:val="superscript"/>
        </w:rPr>
        <w:footnoteRef/>
      </w:r>
      <w:r w:rsidRPr="00E86D64">
        <w:rPr>
          <w:sz w:val="20"/>
          <w:szCs w:val="20"/>
        </w:rPr>
        <w:t xml:space="preserve"> </w:t>
      </w:r>
      <w:proofErr w:type="spellStart"/>
      <w:r w:rsidRPr="00E86D64">
        <w:rPr>
          <w:sz w:val="20"/>
          <w:szCs w:val="20"/>
        </w:rPr>
        <w:t>Ratna</w:t>
      </w:r>
      <w:proofErr w:type="spellEnd"/>
      <w:r w:rsidRPr="00E86D64">
        <w:rPr>
          <w:sz w:val="20"/>
          <w:szCs w:val="20"/>
        </w:rPr>
        <w:t xml:space="preserve"> </w:t>
      </w:r>
      <w:proofErr w:type="spellStart"/>
      <w:r w:rsidRPr="00E86D64">
        <w:rPr>
          <w:sz w:val="20"/>
          <w:szCs w:val="20"/>
        </w:rPr>
        <w:t>Kapur</w:t>
      </w:r>
      <w:proofErr w:type="spellEnd"/>
      <w:r w:rsidRPr="00E86D64">
        <w:rPr>
          <w:sz w:val="20"/>
          <w:szCs w:val="20"/>
        </w:rPr>
        <w:t xml:space="preserve"> ‘The Tragedy of Victimization Rhetoric: Resurrecting the 'Native' Subject in International/Post-Colonial Feminist Legal Politics’ (2002) 15 </w:t>
      </w:r>
      <w:r w:rsidRPr="00D15164">
        <w:rPr>
          <w:sz w:val="20"/>
          <w:szCs w:val="20"/>
        </w:rPr>
        <w:t xml:space="preserve">Harvard Human Rights </w:t>
      </w:r>
      <w:r w:rsidRPr="00D94E6F">
        <w:rPr>
          <w:sz w:val="20"/>
          <w:szCs w:val="20"/>
        </w:rPr>
        <w:t xml:space="preserve">Journal </w:t>
      </w:r>
      <w:r w:rsidR="00D15164" w:rsidRPr="00D94E6F">
        <w:rPr>
          <w:sz w:val="20"/>
          <w:szCs w:val="20"/>
        </w:rPr>
        <w:t>1,</w:t>
      </w:r>
      <w:r w:rsidR="005F742A" w:rsidRPr="00D94E6F">
        <w:rPr>
          <w:sz w:val="20"/>
          <w:szCs w:val="20"/>
        </w:rPr>
        <w:t xml:space="preserve"> </w:t>
      </w:r>
      <w:r w:rsidRPr="00D94E6F">
        <w:rPr>
          <w:sz w:val="20"/>
          <w:szCs w:val="20"/>
        </w:rPr>
        <w:t>10</w:t>
      </w:r>
      <w:r w:rsidR="00D15164" w:rsidRPr="00D94E6F">
        <w:rPr>
          <w:sz w:val="20"/>
          <w:szCs w:val="20"/>
        </w:rPr>
        <w:t>.</w:t>
      </w:r>
    </w:p>
  </w:footnote>
  <w:footnote w:id="40">
    <w:p w14:paraId="2348C0C4" w14:textId="277E578D" w:rsidR="00D37B74" w:rsidRPr="00D37B74" w:rsidRDefault="0011027D" w:rsidP="001E7EFD">
      <w:pPr>
        <w:pStyle w:val="FootnoteText"/>
      </w:pPr>
      <w:r>
        <w:rPr>
          <w:rStyle w:val="FootnoteReference"/>
        </w:rPr>
        <w:footnoteRef/>
      </w:r>
      <w:r>
        <w:t xml:space="preserve"> </w:t>
      </w:r>
      <w:r w:rsidRPr="001E7EFD">
        <w:t>UNSC Res</w:t>
      </w:r>
      <w:r w:rsidR="00D15164">
        <w:t xml:space="preserve"> </w:t>
      </w:r>
      <w:r w:rsidRPr="00D37B74">
        <w:t>2467</w:t>
      </w:r>
      <w:r w:rsidR="00D15164" w:rsidRPr="00D37B74">
        <w:t xml:space="preserve"> </w:t>
      </w:r>
      <w:r w:rsidR="00D37B74" w:rsidRPr="00D37B74">
        <w:t>(2019)</w:t>
      </w:r>
      <w:r w:rsidR="00D15164" w:rsidRPr="00D37B74">
        <w:t xml:space="preserve"> UN Doc. </w:t>
      </w:r>
      <w:r w:rsidRPr="00D37B74">
        <w:t>S/RES 2467/2019</w:t>
      </w:r>
      <w:r w:rsidR="00D15164" w:rsidRPr="00D37B74">
        <w:t xml:space="preserve">. </w:t>
      </w:r>
    </w:p>
  </w:footnote>
  <w:footnote w:id="41">
    <w:p w14:paraId="6455DBA6" w14:textId="3DF0FC0B" w:rsidR="0011027D" w:rsidRPr="00D37B74" w:rsidRDefault="0011027D">
      <w:pPr>
        <w:pStyle w:val="FootnoteText"/>
      </w:pPr>
      <w:r w:rsidRPr="00D37B74">
        <w:rPr>
          <w:rStyle w:val="FootnoteReference"/>
        </w:rPr>
        <w:footnoteRef/>
      </w:r>
      <w:r w:rsidRPr="00D37B74">
        <w:t xml:space="preserve"> UNSC Res 2493</w:t>
      </w:r>
      <w:r w:rsidR="00D15164" w:rsidRPr="00D37B74">
        <w:t xml:space="preserve"> </w:t>
      </w:r>
      <w:r w:rsidR="00D37B74" w:rsidRPr="00D37B74">
        <w:t>(2019)</w:t>
      </w:r>
      <w:r w:rsidR="00D15164" w:rsidRPr="00D37B74">
        <w:t xml:space="preserve"> UN Doc. </w:t>
      </w:r>
      <w:r w:rsidRPr="00D37B74">
        <w:t xml:space="preserve"> S/RES 2493/2019</w:t>
      </w:r>
      <w:r w:rsidR="00D15164" w:rsidRPr="00D37B74">
        <w:t>.</w:t>
      </w:r>
    </w:p>
  </w:footnote>
  <w:footnote w:id="42">
    <w:p w14:paraId="5DBAACB7" w14:textId="79AC9764" w:rsidR="0011027D" w:rsidRPr="001535B3" w:rsidRDefault="0011027D" w:rsidP="00BB3683">
      <w:r w:rsidRPr="00D37B74">
        <w:rPr>
          <w:rStyle w:val="FootnoteReference"/>
        </w:rPr>
        <w:footnoteRef/>
      </w:r>
      <w:r w:rsidRPr="00D37B74">
        <w:t xml:space="preserve"> </w:t>
      </w:r>
      <w:r w:rsidRPr="00D37B74">
        <w:rPr>
          <w:sz w:val="20"/>
          <w:szCs w:val="20"/>
        </w:rPr>
        <w:t>UNSC</w:t>
      </w:r>
      <w:r w:rsidR="00D15164" w:rsidRPr="00D37B74">
        <w:rPr>
          <w:sz w:val="20"/>
          <w:szCs w:val="20"/>
        </w:rPr>
        <w:t>, ‘</w:t>
      </w:r>
      <w:r w:rsidRPr="00D37B74">
        <w:rPr>
          <w:sz w:val="20"/>
          <w:szCs w:val="20"/>
        </w:rPr>
        <w:t>Letter dated 10</w:t>
      </w:r>
      <w:r w:rsidRPr="00D15164">
        <w:rPr>
          <w:sz w:val="20"/>
          <w:szCs w:val="20"/>
        </w:rPr>
        <w:t xml:space="preserve"> January 2022 from the Permanent Representative of Norway to the United Nations addressed to the Secretary-General</w:t>
      </w:r>
      <w:r w:rsidR="00D15164">
        <w:rPr>
          <w:sz w:val="20"/>
          <w:szCs w:val="20"/>
        </w:rPr>
        <w:t>’ (11 January 2022) UN Doc.</w:t>
      </w:r>
      <w:r w:rsidRPr="00D15164">
        <w:rPr>
          <w:sz w:val="20"/>
          <w:szCs w:val="20"/>
        </w:rPr>
        <w:t xml:space="preserve"> S/2022/22</w:t>
      </w:r>
      <w:r w:rsidR="00D15164">
        <w:rPr>
          <w:sz w:val="20"/>
          <w:szCs w:val="20"/>
        </w:rPr>
        <w:t>.</w:t>
      </w:r>
    </w:p>
  </w:footnote>
  <w:footnote w:id="43">
    <w:p w14:paraId="543D26B0" w14:textId="74C9A957" w:rsidR="0011027D" w:rsidRDefault="0011027D">
      <w:pPr>
        <w:pStyle w:val="FootnoteText"/>
      </w:pPr>
      <w:r>
        <w:rPr>
          <w:rStyle w:val="FootnoteReference"/>
        </w:rPr>
        <w:footnoteRef/>
      </w:r>
      <w:r>
        <w:t xml:space="preserve"> UNSC</w:t>
      </w:r>
      <w:r w:rsidR="00D15164">
        <w:t xml:space="preserve"> (n 4</w:t>
      </w:r>
      <w:r w:rsidR="00BA392B">
        <w:t>1</w:t>
      </w:r>
      <w:r w:rsidR="00D15164">
        <w:t>).</w:t>
      </w:r>
    </w:p>
  </w:footnote>
  <w:footnote w:id="44">
    <w:p w14:paraId="2733A63F" w14:textId="56E2D9A8" w:rsidR="0011027D" w:rsidRPr="00193F4F" w:rsidRDefault="0011027D" w:rsidP="0009776A">
      <w:pPr>
        <w:pStyle w:val="FootnoteText"/>
      </w:pPr>
      <w:r>
        <w:rPr>
          <w:rStyle w:val="FootnoteReference"/>
        </w:rPr>
        <w:footnoteRef/>
      </w:r>
      <w:r>
        <w:t xml:space="preserve"> Nicola Pratt</w:t>
      </w:r>
      <w:r w:rsidRPr="009D0C4C">
        <w:t xml:space="preserve"> </w:t>
      </w:r>
      <w:r>
        <w:t>‘</w:t>
      </w:r>
      <w:r w:rsidRPr="009D0C4C">
        <w:t>Reconceptualizing Gender, Reinscribing Racial–Sexual Boundaries in International Security: The Case of UN Security Council Resolution 1325 on ‘‘Women, Peace and Security’’</w:t>
      </w:r>
      <w:proofErr w:type="gramStart"/>
      <w:r>
        <w:t>’(</w:t>
      </w:r>
      <w:proofErr w:type="gramEnd"/>
      <w:r>
        <w:t xml:space="preserve">2013) 57 </w:t>
      </w:r>
      <w:r w:rsidRPr="00886382">
        <w:t>International Studies Quarterly 772</w:t>
      </w:r>
      <w:r>
        <w:t>; Dianne Otto</w:t>
      </w:r>
      <w:r w:rsidRPr="00886382">
        <w:t xml:space="preserve"> </w:t>
      </w:r>
      <w:r>
        <w:t>‘</w:t>
      </w:r>
      <w:r w:rsidRPr="00886382">
        <w:t>Power And Danger: Feminist Engagement With International Law Through The U</w:t>
      </w:r>
      <w:r w:rsidR="003365D1">
        <w:t>N</w:t>
      </w:r>
      <w:r w:rsidRPr="00886382">
        <w:t xml:space="preserve"> Security Council</w:t>
      </w:r>
      <w:r>
        <w:t xml:space="preserve"> (</w:t>
      </w:r>
      <w:r w:rsidRPr="00886382">
        <w:t>2010</w:t>
      </w:r>
      <w:r>
        <w:t>)</w:t>
      </w:r>
      <w:r w:rsidRPr="00886382">
        <w:t xml:space="preserve"> </w:t>
      </w:r>
      <w:r>
        <w:t xml:space="preserve">32 </w:t>
      </w:r>
      <w:r w:rsidRPr="00886382">
        <w:t xml:space="preserve">The Australian Feminist Law Journal </w:t>
      </w:r>
      <w:r>
        <w:t>97</w:t>
      </w:r>
      <w:r w:rsidR="00EC6F08">
        <w:t>.</w:t>
      </w:r>
      <w:r>
        <w:t xml:space="preserve"> </w:t>
      </w:r>
    </w:p>
  </w:footnote>
  <w:footnote w:id="45">
    <w:p w14:paraId="06A23645" w14:textId="5DB8974A" w:rsidR="007A013D" w:rsidRPr="00A14065" w:rsidRDefault="007A013D">
      <w:pPr>
        <w:pStyle w:val="FootnoteText"/>
        <w:rPr>
          <w:lang w:val="en-US"/>
        </w:rPr>
      </w:pPr>
      <w:r>
        <w:rPr>
          <w:rStyle w:val="FootnoteReference"/>
        </w:rPr>
        <w:footnoteRef/>
      </w:r>
      <w:r w:rsidR="00A14065">
        <w:rPr>
          <w:lang w:val="en-US"/>
        </w:rPr>
        <w:t xml:space="preserve"> </w:t>
      </w:r>
      <w:r w:rsidR="00A14065" w:rsidRPr="00A14065">
        <w:rPr>
          <w:lang w:val="en-US"/>
        </w:rPr>
        <w:t>Alice</w:t>
      </w:r>
      <w:r w:rsidR="00A14065">
        <w:rPr>
          <w:lang w:val="en-US"/>
        </w:rPr>
        <w:t xml:space="preserve"> M. </w:t>
      </w:r>
      <w:r w:rsidR="00A14065" w:rsidRPr="00A14065">
        <w:rPr>
          <w:lang w:val="en-US"/>
        </w:rPr>
        <w:t>Mille</w:t>
      </w:r>
      <w:r w:rsidR="00A14065">
        <w:rPr>
          <w:lang w:val="en-US"/>
        </w:rPr>
        <w:t>r, ‘</w:t>
      </w:r>
      <w:r w:rsidR="00A14065" w:rsidRPr="00A14065">
        <w:rPr>
          <w:lang w:val="en-US"/>
        </w:rPr>
        <w:t>Sexuality, Violence Against Women, and Human Rights: Women Make Demands and Ladies Get Protection</w:t>
      </w:r>
      <w:r w:rsidR="00A14065">
        <w:rPr>
          <w:lang w:val="en-US"/>
        </w:rPr>
        <w:t>’ (</w:t>
      </w:r>
      <w:r w:rsidR="00A14065" w:rsidRPr="00A14065">
        <w:rPr>
          <w:lang w:val="en-US"/>
        </w:rPr>
        <w:t>2004</w:t>
      </w:r>
      <w:r w:rsidR="00A14065">
        <w:rPr>
          <w:lang w:val="en-US"/>
        </w:rPr>
        <w:t>)</w:t>
      </w:r>
      <w:r w:rsidR="00A14065" w:rsidRPr="00A14065">
        <w:rPr>
          <w:lang w:val="en-US"/>
        </w:rPr>
        <w:t xml:space="preserve"> </w:t>
      </w:r>
      <w:r w:rsidR="00A14065" w:rsidRPr="00A14065">
        <w:rPr>
          <w:i/>
          <w:iCs/>
          <w:lang w:val="en-US"/>
        </w:rPr>
        <w:t xml:space="preserve">Health and Human </w:t>
      </w:r>
      <w:r w:rsidR="00A14065" w:rsidRPr="00D94E6F">
        <w:rPr>
          <w:i/>
          <w:iCs/>
          <w:lang w:val="en-US"/>
        </w:rPr>
        <w:t>Rights</w:t>
      </w:r>
      <w:r w:rsidR="00A14065" w:rsidRPr="00D94E6F">
        <w:rPr>
          <w:lang w:val="en-US"/>
        </w:rPr>
        <w:t xml:space="preserve"> 7, 16.</w:t>
      </w:r>
    </w:p>
  </w:footnote>
  <w:footnote w:id="46">
    <w:p w14:paraId="191476AA" w14:textId="40A057A2" w:rsidR="007A013D" w:rsidRDefault="007A013D">
      <w:pPr>
        <w:pStyle w:val="FootnoteText"/>
      </w:pPr>
      <w:r>
        <w:rPr>
          <w:rStyle w:val="FootnoteReference"/>
        </w:rPr>
        <w:footnoteRef/>
      </w:r>
      <w:r>
        <w:t xml:space="preserve"> </w:t>
      </w:r>
      <w:proofErr w:type="spellStart"/>
      <w:r>
        <w:t>Kapur</w:t>
      </w:r>
      <w:proofErr w:type="spellEnd"/>
      <w:r>
        <w:t xml:space="preserve"> </w:t>
      </w:r>
      <w:r w:rsidR="006B1A4E">
        <w:t>(n 3</w:t>
      </w:r>
      <w:r w:rsidR="001D4066">
        <w:t>9</w:t>
      </w:r>
      <w:r w:rsidR="006B1A4E">
        <w:t>)</w:t>
      </w:r>
      <w:r>
        <w:t xml:space="preserve"> 6</w:t>
      </w:r>
      <w:r w:rsidR="006B1A4E">
        <w:t>.</w:t>
      </w:r>
    </w:p>
  </w:footnote>
  <w:footnote w:id="47">
    <w:p w14:paraId="6FD3101E" w14:textId="26832F08" w:rsidR="007A013D" w:rsidRDefault="007A013D">
      <w:pPr>
        <w:pStyle w:val="FootnoteText"/>
      </w:pPr>
      <w:r>
        <w:rPr>
          <w:rStyle w:val="FootnoteReference"/>
        </w:rPr>
        <w:footnoteRef/>
      </w:r>
      <w:r>
        <w:t xml:space="preserve"> Cook </w:t>
      </w:r>
      <w:r w:rsidR="00A14065">
        <w:t>(n 3</w:t>
      </w:r>
      <w:r w:rsidR="001D4066">
        <w:t>4</w:t>
      </w:r>
      <w:r w:rsidR="00A14065">
        <w:t>)</w:t>
      </w:r>
      <w:r w:rsidR="0086005A">
        <w:t>.</w:t>
      </w:r>
    </w:p>
  </w:footnote>
  <w:footnote w:id="48">
    <w:p w14:paraId="6D722AC6" w14:textId="45A46D68" w:rsidR="0011027D" w:rsidRPr="003F5D3D" w:rsidRDefault="0011027D" w:rsidP="006E4806">
      <w:pPr>
        <w:jc w:val="both"/>
        <w:rPr>
          <w:sz w:val="20"/>
          <w:szCs w:val="20"/>
        </w:rPr>
      </w:pPr>
      <w:r w:rsidRPr="003F5D3D">
        <w:rPr>
          <w:sz w:val="20"/>
          <w:szCs w:val="20"/>
          <w:vertAlign w:val="superscript"/>
        </w:rPr>
        <w:footnoteRef/>
      </w:r>
      <w:r w:rsidRPr="003F5D3D">
        <w:rPr>
          <w:sz w:val="20"/>
          <w:szCs w:val="20"/>
        </w:rPr>
        <w:t xml:space="preserve"> Kirby and Shepherd</w:t>
      </w:r>
      <w:r w:rsidR="00EC6F08">
        <w:rPr>
          <w:sz w:val="20"/>
          <w:szCs w:val="20"/>
        </w:rPr>
        <w:t xml:space="preserve"> (n </w:t>
      </w:r>
      <w:r w:rsidR="00EC6F08" w:rsidRPr="00EC6F08">
        <w:rPr>
          <w:sz w:val="20"/>
          <w:szCs w:val="20"/>
        </w:rPr>
        <w:t>1</w:t>
      </w:r>
      <w:r w:rsidR="00FD4A0E">
        <w:rPr>
          <w:sz w:val="20"/>
          <w:szCs w:val="20"/>
        </w:rPr>
        <w:t>4</w:t>
      </w:r>
      <w:r w:rsidR="00EC6F08">
        <w:rPr>
          <w:b/>
          <w:bCs/>
          <w:sz w:val="20"/>
          <w:szCs w:val="20"/>
        </w:rPr>
        <w:t>)</w:t>
      </w:r>
      <w:r>
        <w:rPr>
          <w:sz w:val="20"/>
          <w:szCs w:val="20"/>
        </w:rPr>
        <w:t xml:space="preserve"> </w:t>
      </w:r>
      <w:r w:rsidRPr="003F5D3D">
        <w:rPr>
          <w:sz w:val="20"/>
          <w:szCs w:val="20"/>
        </w:rPr>
        <w:t>14</w:t>
      </w:r>
      <w:r w:rsidR="00EC6F08">
        <w:rPr>
          <w:sz w:val="20"/>
          <w:szCs w:val="20"/>
        </w:rPr>
        <w:t>.</w:t>
      </w:r>
    </w:p>
  </w:footnote>
  <w:footnote w:id="49">
    <w:p w14:paraId="4FDFD328" w14:textId="11EA546C" w:rsidR="0011027D" w:rsidRPr="00E86D64" w:rsidRDefault="0011027D" w:rsidP="006E4806">
      <w:pPr>
        <w:jc w:val="both"/>
        <w:rPr>
          <w:sz w:val="20"/>
          <w:szCs w:val="20"/>
        </w:rPr>
      </w:pPr>
      <w:r w:rsidRPr="00E86D64">
        <w:rPr>
          <w:sz w:val="20"/>
          <w:szCs w:val="20"/>
          <w:vertAlign w:val="superscript"/>
        </w:rPr>
        <w:footnoteRef/>
      </w:r>
      <w:r w:rsidRPr="00E86D64">
        <w:rPr>
          <w:sz w:val="20"/>
          <w:szCs w:val="20"/>
        </w:rPr>
        <w:t xml:space="preserve"> Kirby and Shepherd</w:t>
      </w:r>
      <w:r w:rsidR="00EC6F08">
        <w:rPr>
          <w:sz w:val="20"/>
          <w:szCs w:val="20"/>
        </w:rPr>
        <w:t xml:space="preserve"> (n 1</w:t>
      </w:r>
      <w:r w:rsidR="00FD4A0E">
        <w:rPr>
          <w:sz w:val="20"/>
          <w:szCs w:val="20"/>
        </w:rPr>
        <w:t>4</w:t>
      </w:r>
      <w:r w:rsidR="00EC6F08" w:rsidRPr="00EC6F08">
        <w:rPr>
          <w:sz w:val="20"/>
          <w:szCs w:val="20"/>
        </w:rPr>
        <w:t>)</w:t>
      </w:r>
      <w:r w:rsidRPr="00E86D64">
        <w:rPr>
          <w:sz w:val="20"/>
          <w:szCs w:val="20"/>
        </w:rPr>
        <w:t xml:space="preserve"> 3</w:t>
      </w:r>
      <w:r w:rsidR="00EC6F08">
        <w:rPr>
          <w:sz w:val="20"/>
          <w:szCs w:val="20"/>
        </w:rPr>
        <w:t>.</w:t>
      </w:r>
    </w:p>
  </w:footnote>
  <w:footnote w:id="50">
    <w:p w14:paraId="303CCEA5" w14:textId="79FBB3C1" w:rsidR="00A459B7" w:rsidRDefault="00A459B7">
      <w:pPr>
        <w:pStyle w:val="FootnoteText"/>
      </w:pPr>
      <w:r>
        <w:rPr>
          <w:rStyle w:val="FootnoteReference"/>
        </w:rPr>
        <w:footnoteRef/>
      </w:r>
      <w:r>
        <w:t xml:space="preserve"> </w:t>
      </w:r>
      <w:r w:rsidRPr="00E86D64">
        <w:t>Kirby and Shepherd</w:t>
      </w:r>
      <w:r>
        <w:t xml:space="preserve"> (n 1</w:t>
      </w:r>
      <w:r w:rsidR="00FD4A0E">
        <w:t>4</w:t>
      </w:r>
      <w:r w:rsidRPr="00EC6F08">
        <w:t>)</w:t>
      </w:r>
      <w:r>
        <w:t xml:space="preserve"> 12.</w:t>
      </w:r>
    </w:p>
  </w:footnote>
  <w:footnote w:id="51">
    <w:p w14:paraId="58B48EA8" w14:textId="7F596BB6" w:rsidR="0011027D" w:rsidRPr="00E86D64" w:rsidRDefault="0011027D" w:rsidP="006E4806">
      <w:pPr>
        <w:jc w:val="both"/>
        <w:rPr>
          <w:sz w:val="20"/>
          <w:szCs w:val="20"/>
        </w:rPr>
      </w:pPr>
      <w:r w:rsidRPr="00E86D64">
        <w:rPr>
          <w:sz w:val="20"/>
          <w:szCs w:val="20"/>
          <w:vertAlign w:val="superscript"/>
        </w:rPr>
        <w:footnoteRef/>
      </w:r>
      <w:r w:rsidRPr="00E86D64">
        <w:rPr>
          <w:sz w:val="20"/>
          <w:szCs w:val="20"/>
        </w:rPr>
        <w:t xml:space="preserve"> Werner and </w:t>
      </w:r>
      <w:proofErr w:type="spellStart"/>
      <w:r w:rsidRPr="00E86D64">
        <w:rPr>
          <w:sz w:val="20"/>
          <w:szCs w:val="20"/>
        </w:rPr>
        <w:t>Straveska</w:t>
      </w:r>
      <w:proofErr w:type="spellEnd"/>
      <w:r w:rsidR="00EC6F08">
        <w:rPr>
          <w:sz w:val="20"/>
          <w:szCs w:val="20"/>
        </w:rPr>
        <w:t xml:space="preserve"> (</w:t>
      </w:r>
      <w:r w:rsidR="001D4066">
        <w:rPr>
          <w:sz w:val="20"/>
          <w:szCs w:val="20"/>
        </w:rPr>
        <w:t xml:space="preserve">n </w:t>
      </w:r>
      <w:r w:rsidR="00EC6F08">
        <w:rPr>
          <w:sz w:val="20"/>
          <w:szCs w:val="20"/>
        </w:rPr>
        <w:t>1</w:t>
      </w:r>
      <w:r w:rsidR="001D4066">
        <w:rPr>
          <w:sz w:val="20"/>
          <w:szCs w:val="20"/>
        </w:rPr>
        <w:t>3</w:t>
      </w:r>
      <w:r w:rsidR="00EC6F08">
        <w:rPr>
          <w:sz w:val="20"/>
          <w:szCs w:val="20"/>
        </w:rPr>
        <w:t>)</w:t>
      </w:r>
      <w:r w:rsidRPr="00E86D64">
        <w:rPr>
          <w:sz w:val="20"/>
          <w:szCs w:val="20"/>
        </w:rPr>
        <w:t xml:space="preserve"> 3</w:t>
      </w:r>
      <w:r w:rsidR="00EC6F08">
        <w:rPr>
          <w:sz w:val="20"/>
          <w:szCs w:val="20"/>
        </w:rPr>
        <w:t>.</w:t>
      </w:r>
    </w:p>
  </w:footnote>
  <w:footnote w:id="52">
    <w:p w14:paraId="21D196CE" w14:textId="1882CB29" w:rsidR="0011027D" w:rsidRPr="00E86D64" w:rsidRDefault="0011027D" w:rsidP="006E4806">
      <w:pPr>
        <w:jc w:val="both"/>
        <w:rPr>
          <w:sz w:val="20"/>
          <w:szCs w:val="20"/>
        </w:rPr>
      </w:pPr>
      <w:r w:rsidRPr="00E86D64">
        <w:rPr>
          <w:sz w:val="20"/>
          <w:szCs w:val="20"/>
          <w:vertAlign w:val="superscript"/>
        </w:rPr>
        <w:footnoteRef/>
      </w:r>
      <w:r w:rsidRPr="00E86D64">
        <w:rPr>
          <w:sz w:val="20"/>
          <w:szCs w:val="20"/>
        </w:rPr>
        <w:t xml:space="preserve"> Puechguirbal</w:t>
      </w:r>
      <w:r w:rsidR="00EC6F08">
        <w:rPr>
          <w:sz w:val="20"/>
          <w:szCs w:val="20"/>
        </w:rPr>
        <w:t xml:space="preserve"> (n </w:t>
      </w:r>
      <w:r w:rsidR="001D4066">
        <w:rPr>
          <w:sz w:val="20"/>
          <w:szCs w:val="20"/>
        </w:rPr>
        <w:t>31</w:t>
      </w:r>
      <w:r w:rsidR="00EC6F08">
        <w:rPr>
          <w:sz w:val="20"/>
          <w:szCs w:val="20"/>
        </w:rPr>
        <w:t xml:space="preserve">) </w:t>
      </w:r>
      <w:r w:rsidRPr="00E86D64">
        <w:rPr>
          <w:sz w:val="20"/>
          <w:szCs w:val="20"/>
        </w:rPr>
        <w:t>172</w:t>
      </w:r>
      <w:r w:rsidR="00EC6F08">
        <w:rPr>
          <w:sz w:val="20"/>
          <w:szCs w:val="20"/>
        </w:rPr>
        <w:t>.</w:t>
      </w:r>
    </w:p>
  </w:footnote>
  <w:footnote w:id="53">
    <w:p w14:paraId="0093132A" w14:textId="4B94698B" w:rsidR="0011027D" w:rsidRPr="00E86D64" w:rsidRDefault="0011027D" w:rsidP="005A655D">
      <w:pPr>
        <w:rPr>
          <w:sz w:val="20"/>
          <w:szCs w:val="20"/>
        </w:rPr>
      </w:pPr>
      <w:r w:rsidRPr="00E86D64">
        <w:rPr>
          <w:sz w:val="20"/>
          <w:szCs w:val="20"/>
          <w:vertAlign w:val="superscript"/>
        </w:rPr>
        <w:footnoteRef/>
      </w:r>
      <w:r w:rsidRPr="00E86D64">
        <w:rPr>
          <w:sz w:val="20"/>
          <w:szCs w:val="20"/>
        </w:rPr>
        <w:t xml:space="preserve"> Werner and </w:t>
      </w:r>
      <w:proofErr w:type="spellStart"/>
      <w:r w:rsidRPr="00E86D64">
        <w:rPr>
          <w:sz w:val="20"/>
          <w:szCs w:val="20"/>
        </w:rPr>
        <w:t>Stravrevka</w:t>
      </w:r>
      <w:proofErr w:type="spellEnd"/>
      <w:r w:rsidR="00EC6F08">
        <w:rPr>
          <w:sz w:val="20"/>
          <w:szCs w:val="20"/>
        </w:rPr>
        <w:t xml:space="preserve"> (n 1</w:t>
      </w:r>
      <w:r w:rsidR="001D4066">
        <w:rPr>
          <w:sz w:val="20"/>
          <w:szCs w:val="20"/>
        </w:rPr>
        <w:t>3</w:t>
      </w:r>
      <w:r w:rsidR="00EC6F08">
        <w:rPr>
          <w:sz w:val="20"/>
          <w:szCs w:val="20"/>
        </w:rPr>
        <w:t>)</w:t>
      </w:r>
      <w:r w:rsidRPr="00E86D64">
        <w:rPr>
          <w:sz w:val="20"/>
          <w:szCs w:val="20"/>
        </w:rPr>
        <w:t xml:space="preserve">; </w:t>
      </w:r>
      <w:r w:rsidR="005A655D">
        <w:rPr>
          <w:sz w:val="20"/>
          <w:szCs w:val="20"/>
        </w:rPr>
        <w:t>Aisli</w:t>
      </w:r>
      <w:r w:rsidR="005A655D" w:rsidRPr="005A655D">
        <w:rPr>
          <w:sz w:val="20"/>
          <w:szCs w:val="20"/>
        </w:rPr>
        <w:t xml:space="preserve">ng </w:t>
      </w:r>
      <w:r w:rsidRPr="005A655D">
        <w:rPr>
          <w:sz w:val="20"/>
          <w:szCs w:val="20"/>
        </w:rPr>
        <w:t>Swaine</w:t>
      </w:r>
      <w:r w:rsidR="005A655D" w:rsidRPr="005A655D">
        <w:rPr>
          <w:sz w:val="20"/>
          <w:szCs w:val="20"/>
        </w:rPr>
        <w:t>, ‘Addressing the Gendered Interests of Victims/Survivors</w:t>
      </w:r>
      <w:r w:rsidR="005A655D" w:rsidRPr="005A655D">
        <w:rPr>
          <w:sz w:val="20"/>
          <w:szCs w:val="20"/>
        </w:rPr>
        <w:br/>
        <w:t>of Conflict-Related Sexual Violence and Their Children Through National Action Plans on Women, Peace and Security’ (</w:t>
      </w:r>
      <w:r w:rsidRPr="005A655D">
        <w:rPr>
          <w:sz w:val="20"/>
          <w:szCs w:val="20"/>
        </w:rPr>
        <w:t>2020</w:t>
      </w:r>
      <w:r w:rsidR="005A655D" w:rsidRPr="005A655D">
        <w:rPr>
          <w:sz w:val="20"/>
          <w:szCs w:val="20"/>
        </w:rPr>
        <w:t>)</w:t>
      </w:r>
      <w:r w:rsidR="005A655D">
        <w:rPr>
          <w:sz w:val="20"/>
          <w:szCs w:val="20"/>
        </w:rPr>
        <w:t xml:space="preserve"> 7 </w:t>
      </w:r>
      <w:r w:rsidR="005A655D" w:rsidRPr="005A655D">
        <w:rPr>
          <w:sz w:val="20"/>
          <w:szCs w:val="20"/>
        </w:rPr>
        <w:t>Journal of Asian Security and International Affairs</w:t>
      </w:r>
      <w:r w:rsidR="005A655D">
        <w:rPr>
          <w:sz w:val="20"/>
          <w:szCs w:val="20"/>
        </w:rPr>
        <w:t xml:space="preserve"> 145</w:t>
      </w:r>
      <w:r w:rsidRPr="00E86D64">
        <w:rPr>
          <w:sz w:val="20"/>
          <w:szCs w:val="20"/>
        </w:rPr>
        <w:t xml:space="preserve">; Martin de Almagro </w:t>
      </w:r>
      <w:r w:rsidR="00EC6F08">
        <w:rPr>
          <w:sz w:val="20"/>
          <w:szCs w:val="20"/>
        </w:rPr>
        <w:t xml:space="preserve">(n </w:t>
      </w:r>
      <w:r w:rsidR="00177B9E">
        <w:rPr>
          <w:sz w:val="20"/>
          <w:szCs w:val="20"/>
        </w:rPr>
        <w:t>30</w:t>
      </w:r>
      <w:r w:rsidR="00EC6F08">
        <w:rPr>
          <w:sz w:val="20"/>
          <w:szCs w:val="20"/>
        </w:rPr>
        <w:t>)</w:t>
      </w:r>
      <w:r w:rsidRPr="00E86D64">
        <w:rPr>
          <w:sz w:val="20"/>
          <w:szCs w:val="20"/>
        </w:rPr>
        <w:t xml:space="preserve">; Amy Barrow, ‘Operationalizing Security Council Resolution 1325: The Role of National Action Plans’ (2016) 21 </w:t>
      </w:r>
      <w:r w:rsidRPr="00EC6F08">
        <w:rPr>
          <w:sz w:val="20"/>
          <w:szCs w:val="20"/>
        </w:rPr>
        <w:t>Journal of Conflict &amp; Security Law</w:t>
      </w:r>
      <w:r w:rsidRPr="00E86D64">
        <w:rPr>
          <w:sz w:val="20"/>
          <w:szCs w:val="20"/>
        </w:rPr>
        <w:t xml:space="preserve"> 247; Laura J. Shepherd, ‘Victims of violence or agents of change? Representations of women in UN peacebuilding discourse’ (2016) 4 Peacebuilding, 12</w:t>
      </w:r>
      <w:r w:rsidR="00EC6F08">
        <w:rPr>
          <w:sz w:val="20"/>
          <w:szCs w:val="20"/>
        </w:rPr>
        <w:t>1</w:t>
      </w:r>
      <w:r w:rsidRPr="00E86D64">
        <w:rPr>
          <w:sz w:val="20"/>
          <w:szCs w:val="20"/>
        </w:rPr>
        <w:t xml:space="preserve">; Annika </w:t>
      </w:r>
      <w:proofErr w:type="spellStart"/>
      <w:r w:rsidRPr="00E86D64">
        <w:rPr>
          <w:sz w:val="20"/>
          <w:szCs w:val="20"/>
        </w:rPr>
        <w:t>Björkdahl</w:t>
      </w:r>
      <w:proofErr w:type="spellEnd"/>
      <w:r w:rsidRPr="00E86D64">
        <w:rPr>
          <w:sz w:val="20"/>
          <w:szCs w:val="20"/>
        </w:rPr>
        <w:t xml:space="preserve">, Johanna </w:t>
      </w:r>
      <w:proofErr w:type="spellStart"/>
      <w:r w:rsidRPr="00E86D64">
        <w:rPr>
          <w:sz w:val="20"/>
          <w:szCs w:val="20"/>
        </w:rPr>
        <w:t>Mannergren</w:t>
      </w:r>
      <w:proofErr w:type="spellEnd"/>
      <w:r w:rsidRPr="00E86D64">
        <w:rPr>
          <w:sz w:val="20"/>
          <w:szCs w:val="20"/>
        </w:rPr>
        <w:t xml:space="preserve"> </w:t>
      </w:r>
      <w:proofErr w:type="spellStart"/>
      <w:r w:rsidRPr="00E86D64">
        <w:rPr>
          <w:sz w:val="20"/>
          <w:szCs w:val="20"/>
        </w:rPr>
        <w:t>Selimovic</w:t>
      </w:r>
      <w:proofErr w:type="spellEnd"/>
      <w:r w:rsidRPr="00E86D64">
        <w:rPr>
          <w:sz w:val="20"/>
          <w:szCs w:val="20"/>
        </w:rPr>
        <w:t>,</w:t>
      </w:r>
      <w:r w:rsidR="005A655D">
        <w:rPr>
          <w:sz w:val="20"/>
          <w:szCs w:val="20"/>
        </w:rPr>
        <w:t xml:space="preserve"> </w:t>
      </w:r>
      <w:r w:rsidRPr="00E86D64">
        <w:rPr>
          <w:sz w:val="20"/>
          <w:szCs w:val="20"/>
        </w:rPr>
        <w:t xml:space="preserve">‘Translating UNSCR 1325 from the global to the national: protection, representation and participation in the National Action Plans of Bosnia-Herzegovina and Rwanda’ (2015) 15 </w:t>
      </w:r>
      <w:r w:rsidRPr="00EC6F08">
        <w:rPr>
          <w:sz w:val="20"/>
          <w:szCs w:val="20"/>
        </w:rPr>
        <w:t>Conflict, Security &amp; Development</w:t>
      </w:r>
      <w:r w:rsidRPr="00E86D64">
        <w:rPr>
          <w:sz w:val="20"/>
          <w:szCs w:val="20"/>
        </w:rPr>
        <w:t xml:space="preserve"> 311; </w:t>
      </w:r>
      <w:proofErr w:type="spellStart"/>
      <w:r w:rsidRPr="00E86D64">
        <w:rPr>
          <w:sz w:val="20"/>
          <w:szCs w:val="20"/>
        </w:rPr>
        <w:t>Peuchguiribal</w:t>
      </w:r>
      <w:proofErr w:type="spellEnd"/>
      <w:r w:rsidRPr="00E86D64">
        <w:rPr>
          <w:sz w:val="20"/>
          <w:szCs w:val="20"/>
        </w:rPr>
        <w:t xml:space="preserve"> </w:t>
      </w:r>
      <w:r w:rsidR="00EC6F08">
        <w:rPr>
          <w:sz w:val="20"/>
          <w:szCs w:val="20"/>
        </w:rPr>
        <w:t>(n 8)</w:t>
      </w:r>
      <w:r w:rsidRPr="00E86D64">
        <w:rPr>
          <w:sz w:val="20"/>
          <w:szCs w:val="20"/>
        </w:rPr>
        <w:t xml:space="preserve">; Toni </w:t>
      </w:r>
      <w:proofErr w:type="spellStart"/>
      <w:r w:rsidRPr="00E86D64">
        <w:rPr>
          <w:sz w:val="20"/>
          <w:szCs w:val="20"/>
        </w:rPr>
        <w:t>Haastrup</w:t>
      </w:r>
      <w:proofErr w:type="spellEnd"/>
      <w:r w:rsidR="00EC6F08">
        <w:rPr>
          <w:sz w:val="20"/>
          <w:szCs w:val="20"/>
        </w:rPr>
        <w:t xml:space="preserve"> and </w:t>
      </w:r>
      <w:r w:rsidRPr="00E86D64">
        <w:rPr>
          <w:sz w:val="20"/>
          <w:szCs w:val="20"/>
        </w:rPr>
        <w:t xml:space="preserve">Jamie J. Hagen, ‘Global Racial Hierarchies and the Limits of Localization via National Action Plans in </w:t>
      </w:r>
      <w:proofErr w:type="spellStart"/>
      <w:r w:rsidRPr="00E86D64">
        <w:rPr>
          <w:sz w:val="20"/>
          <w:szCs w:val="20"/>
        </w:rPr>
        <w:t>Basu</w:t>
      </w:r>
      <w:proofErr w:type="spellEnd"/>
      <w:r w:rsidR="001D4066">
        <w:rPr>
          <w:sz w:val="20"/>
          <w:szCs w:val="20"/>
        </w:rPr>
        <w:t>, Kirby and Shepherd (n 5).</w:t>
      </w:r>
    </w:p>
  </w:footnote>
  <w:footnote w:id="54">
    <w:p w14:paraId="2552D9D2" w14:textId="2071EFBC" w:rsidR="0011027D" w:rsidRPr="00E86D64" w:rsidRDefault="0011027D" w:rsidP="006D6706">
      <w:pPr>
        <w:jc w:val="both"/>
        <w:rPr>
          <w:sz w:val="20"/>
          <w:szCs w:val="20"/>
        </w:rPr>
      </w:pPr>
      <w:r w:rsidRPr="00E86D64">
        <w:rPr>
          <w:sz w:val="20"/>
          <w:szCs w:val="20"/>
          <w:vertAlign w:val="superscript"/>
        </w:rPr>
        <w:footnoteRef/>
      </w:r>
      <w:r w:rsidRPr="00E86D64">
        <w:rPr>
          <w:sz w:val="20"/>
          <w:szCs w:val="20"/>
        </w:rPr>
        <w:t xml:space="preserve"> </w:t>
      </w:r>
      <w:r w:rsidR="005F742A">
        <w:rPr>
          <w:sz w:val="20"/>
          <w:szCs w:val="20"/>
        </w:rPr>
        <w:t>True (n 1</w:t>
      </w:r>
      <w:r w:rsidR="00FD4A0E">
        <w:rPr>
          <w:sz w:val="20"/>
          <w:szCs w:val="20"/>
        </w:rPr>
        <w:t>5</w:t>
      </w:r>
      <w:r w:rsidR="005F742A">
        <w:rPr>
          <w:sz w:val="20"/>
          <w:szCs w:val="20"/>
        </w:rPr>
        <w:t>)</w:t>
      </w:r>
      <w:r w:rsidRPr="00E86D64">
        <w:rPr>
          <w:sz w:val="20"/>
          <w:szCs w:val="20"/>
        </w:rPr>
        <w:t xml:space="preserve">; </w:t>
      </w:r>
      <w:proofErr w:type="spellStart"/>
      <w:r w:rsidRPr="00E86D64">
        <w:rPr>
          <w:sz w:val="20"/>
          <w:szCs w:val="20"/>
        </w:rPr>
        <w:t>Chinkin</w:t>
      </w:r>
      <w:proofErr w:type="spellEnd"/>
      <w:r w:rsidR="00EC6F08">
        <w:rPr>
          <w:sz w:val="20"/>
          <w:szCs w:val="20"/>
        </w:rPr>
        <w:t xml:space="preserve"> (n 1</w:t>
      </w:r>
      <w:r w:rsidR="00FD4A0E">
        <w:rPr>
          <w:sz w:val="20"/>
          <w:szCs w:val="20"/>
        </w:rPr>
        <w:t>5</w:t>
      </w:r>
      <w:r w:rsidR="00EC6F08">
        <w:rPr>
          <w:sz w:val="20"/>
          <w:szCs w:val="20"/>
        </w:rPr>
        <w:t>)</w:t>
      </w:r>
      <w:r w:rsidRPr="00E86D64">
        <w:rPr>
          <w:sz w:val="20"/>
          <w:szCs w:val="20"/>
        </w:rPr>
        <w:t xml:space="preserve">; </w:t>
      </w:r>
      <w:proofErr w:type="spellStart"/>
      <w:r w:rsidRPr="00E86D64">
        <w:rPr>
          <w:sz w:val="20"/>
          <w:szCs w:val="20"/>
        </w:rPr>
        <w:t>Tyrggestad</w:t>
      </w:r>
      <w:proofErr w:type="spellEnd"/>
      <w:r w:rsidRPr="00E86D64">
        <w:rPr>
          <w:sz w:val="20"/>
          <w:szCs w:val="20"/>
        </w:rPr>
        <w:t xml:space="preserve"> </w:t>
      </w:r>
      <w:r w:rsidR="005F742A">
        <w:rPr>
          <w:sz w:val="20"/>
          <w:szCs w:val="20"/>
        </w:rPr>
        <w:t>(n 1</w:t>
      </w:r>
      <w:r w:rsidR="00FD4A0E">
        <w:rPr>
          <w:sz w:val="20"/>
          <w:szCs w:val="20"/>
        </w:rPr>
        <w:t>5</w:t>
      </w:r>
      <w:r w:rsidR="005F742A">
        <w:rPr>
          <w:sz w:val="20"/>
          <w:szCs w:val="20"/>
        </w:rPr>
        <w:t>)</w:t>
      </w:r>
    </w:p>
  </w:footnote>
  <w:footnote w:id="55">
    <w:p w14:paraId="767B2388" w14:textId="4D97E2C1" w:rsidR="0011027D" w:rsidRPr="00E86D64" w:rsidRDefault="0011027D" w:rsidP="006D6706">
      <w:pPr>
        <w:jc w:val="both"/>
        <w:rPr>
          <w:sz w:val="20"/>
          <w:szCs w:val="20"/>
        </w:rPr>
      </w:pPr>
      <w:r w:rsidRPr="00E86D64">
        <w:rPr>
          <w:sz w:val="20"/>
          <w:szCs w:val="20"/>
          <w:vertAlign w:val="superscript"/>
        </w:rPr>
        <w:footnoteRef/>
      </w:r>
      <w:r w:rsidRPr="00E86D64">
        <w:rPr>
          <w:sz w:val="20"/>
          <w:szCs w:val="20"/>
          <w:lang w:val="en-US"/>
        </w:rPr>
        <w:t xml:space="preserve"> </w:t>
      </w:r>
      <w:proofErr w:type="spellStart"/>
      <w:r w:rsidRPr="00E86D64">
        <w:rPr>
          <w:sz w:val="20"/>
          <w:szCs w:val="20"/>
          <w:lang w:val="en-US"/>
        </w:rPr>
        <w:t>Kapur</w:t>
      </w:r>
      <w:proofErr w:type="spellEnd"/>
      <w:r w:rsidR="007A013D">
        <w:rPr>
          <w:sz w:val="20"/>
          <w:szCs w:val="20"/>
          <w:lang w:val="en-US"/>
        </w:rPr>
        <w:t xml:space="preserve"> (n 5)</w:t>
      </w:r>
      <w:r w:rsidRPr="00E86D64">
        <w:rPr>
          <w:sz w:val="20"/>
          <w:szCs w:val="20"/>
        </w:rPr>
        <w:t xml:space="preserve">; Pratt </w:t>
      </w:r>
      <w:r w:rsidR="005F742A">
        <w:rPr>
          <w:sz w:val="20"/>
          <w:szCs w:val="20"/>
        </w:rPr>
        <w:t>(n 4</w:t>
      </w:r>
      <w:r w:rsidR="00EB512D">
        <w:rPr>
          <w:sz w:val="20"/>
          <w:szCs w:val="20"/>
        </w:rPr>
        <w:t>4</w:t>
      </w:r>
      <w:r w:rsidR="005F742A">
        <w:rPr>
          <w:sz w:val="20"/>
          <w:szCs w:val="20"/>
        </w:rPr>
        <w:t>).</w:t>
      </w:r>
    </w:p>
  </w:footnote>
  <w:footnote w:id="56">
    <w:p w14:paraId="6D0F005E" w14:textId="04794036" w:rsidR="0011027D" w:rsidRPr="00E86D64" w:rsidRDefault="0011027D" w:rsidP="006D6706">
      <w:pPr>
        <w:jc w:val="both"/>
        <w:rPr>
          <w:sz w:val="20"/>
          <w:szCs w:val="20"/>
          <w:lang w:val="en-US"/>
        </w:rPr>
      </w:pPr>
      <w:r w:rsidRPr="00E86D64">
        <w:rPr>
          <w:sz w:val="20"/>
          <w:szCs w:val="20"/>
          <w:vertAlign w:val="superscript"/>
        </w:rPr>
        <w:footnoteRef/>
      </w:r>
      <w:r w:rsidRPr="00E86D64">
        <w:rPr>
          <w:sz w:val="20"/>
          <w:szCs w:val="20"/>
        </w:rPr>
        <w:t xml:space="preserve"> Maria </w:t>
      </w:r>
      <w:proofErr w:type="spellStart"/>
      <w:r w:rsidRPr="00E86D64">
        <w:rPr>
          <w:sz w:val="20"/>
          <w:szCs w:val="20"/>
        </w:rPr>
        <w:t>Jannson</w:t>
      </w:r>
      <w:proofErr w:type="spellEnd"/>
      <w:r w:rsidRPr="00E86D64">
        <w:rPr>
          <w:sz w:val="20"/>
          <w:szCs w:val="20"/>
        </w:rPr>
        <w:t xml:space="preserve">, Maud </w:t>
      </w:r>
      <w:proofErr w:type="spellStart"/>
      <w:r w:rsidRPr="00E86D64">
        <w:rPr>
          <w:sz w:val="20"/>
          <w:szCs w:val="20"/>
        </w:rPr>
        <w:t>Eduards</w:t>
      </w:r>
      <w:proofErr w:type="spellEnd"/>
      <w:r w:rsidRPr="00E86D64">
        <w:rPr>
          <w:sz w:val="20"/>
          <w:szCs w:val="20"/>
        </w:rPr>
        <w:t>, ‘The politics of gender in the UN Security Council resolutions on women, peace and security’ (2016) 18</w:t>
      </w:r>
      <w:r w:rsidR="005F742A">
        <w:rPr>
          <w:sz w:val="20"/>
          <w:szCs w:val="20"/>
        </w:rPr>
        <w:t xml:space="preserve"> </w:t>
      </w:r>
      <w:r w:rsidRPr="00E86D64">
        <w:rPr>
          <w:sz w:val="20"/>
          <w:szCs w:val="20"/>
        </w:rPr>
        <w:t>International Feminist Journal of Politics, 590; Jamie Hagen, ‘Queering women, peace and security’ (2016)</w:t>
      </w:r>
      <w:r w:rsidRPr="00E86D64">
        <w:rPr>
          <w:i/>
          <w:iCs/>
          <w:sz w:val="20"/>
          <w:szCs w:val="20"/>
        </w:rPr>
        <w:t xml:space="preserve"> </w:t>
      </w:r>
      <w:r w:rsidRPr="00E86D64">
        <w:rPr>
          <w:sz w:val="20"/>
          <w:szCs w:val="20"/>
        </w:rPr>
        <w:t>92 International Affairs</w:t>
      </w:r>
      <w:r w:rsidRPr="00E86D64">
        <w:rPr>
          <w:i/>
          <w:iCs/>
          <w:sz w:val="20"/>
          <w:szCs w:val="20"/>
        </w:rPr>
        <w:t xml:space="preserve"> </w:t>
      </w:r>
      <w:r w:rsidRPr="00E86D64">
        <w:rPr>
          <w:sz w:val="20"/>
          <w:szCs w:val="20"/>
        </w:rPr>
        <w:t>313;</w:t>
      </w:r>
      <w:r w:rsidRPr="00E86D64">
        <w:rPr>
          <w:sz w:val="20"/>
          <w:szCs w:val="20"/>
          <w:lang w:val="en-US"/>
        </w:rPr>
        <w:t xml:space="preserve"> Natalie F. Hudson, ‘Securitizing Women's Rights and Gender Equality’ (2009) 8 Journal of Human Rights 53.</w:t>
      </w:r>
    </w:p>
  </w:footnote>
  <w:footnote w:id="57">
    <w:p w14:paraId="738E0437" w14:textId="24A4EC32" w:rsidR="0011027D" w:rsidRPr="006D6706" w:rsidRDefault="0011027D" w:rsidP="006D6706">
      <w:pPr>
        <w:jc w:val="both"/>
        <w:rPr>
          <w:sz w:val="20"/>
          <w:szCs w:val="20"/>
        </w:rPr>
      </w:pPr>
      <w:r w:rsidRPr="00E86D64">
        <w:rPr>
          <w:sz w:val="20"/>
          <w:szCs w:val="20"/>
          <w:vertAlign w:val="superscript"/>
        </w:rPr>
        <w:footnoteRef/>
      </w:r>
      <w:r w:rsidRPr="00E86D64">
        <w:rPr>
          <w:sz w:val="20"/>
          <w:szCs w:val="20"/>
        </w:rPr>
        <w:t xml:space="preserve"> Catherine O’Rourke, ‘Walk(</w:t>
      </w:r>
      <w:proofErr w:type="spellStart"/>
      <w:r w:rsidRPr="00E86D64">
        <w:rPr>
          <w:sz w:val="20"/>
          <w:szCs w:val="20"/>
        </w:rPr>
        <w:t>ing</w:t>
      </w:r>
      <w:proofErr w:type="spellEnd"/>
      <w:r w:rsidRPr="00E86D64">
        <w:rPr>
          <w:sz w:val="20"/>
          <w:szCs w:val="20"/>
        </w:rPr>
        <w:t>) the Halls of Power’? Understanding Women’s Participation in International Peace and Security’ (2014) 15 Melbourne Journal of International Law 1; Engle</w:t>
      </w:r>
      <w:r w:rsidR="005F742A">
        <w:rPr>
          <w:sz w:val="20"/>
          <w:szCs w:val="20"/>
        </w:rPr>
        <w:t xml:space="preserve"> (n 3</w:t>
      </w:r>
      <w:r w:rsidR="00EB512D">
        <w:rPr>
          <w:sz w:val="20"/>
          <w:szCs w:val="20"/>
        </w:rPr>
        <w:t>5</w:t>
      </w:r>
      <w:r w:rsidR="005F742A">
        <w:rPr>
          <w:sz w:val="20"/>
          <w:szCs w:val="20"/>
        </w:rPr>
        <w:t>).</w:t>
      </w:r>
      <w:r w:rsidRPr="006D6706">
        <w:rPr>
          <w:sz w:val="20"/>
          <w:szCs w:val="20"/>
        </w:rPr>
        <w:t xml:space="preserve"> </w:t>
      </w:r>
    </w:p>
  </w:footnote>
  <w:footnote w:id="58">
    <w:p w14:paraId="2A44ABBE" w14:textId="5600A417" w:rsidR="0011027D" w:rsidRPr="003F5D3D" w:rsidRDefault="0011027D" w:rsidP="006E4806">
      <w:pPr>
        <w:jc w:val="both"/>
        <w:rPr>
          <w:sz w:val="20"/>
          <w:szCs w:val="20"/>
        </w:rPr>
      </w:pPr>
      <w:r w:rsidRPr="003F5D3D">
        <w:rPr>
          <w:sz w:val="20"/>
          <w:szCs w:val="20"/>
          <w:vertAlign w:val="superscript"/>
        </w:rPr>
        <w:footnoteRef/>
      </w:r>
      <w:r w:rsidRPr="003F5D3D">
        <w:rPr>
          <w:sz w:val="20"/>
          <w:szCs w:val="20"/>
        </w:rPr>
        <w:t xml:space="preserve"> Olsson </w:t>
      </w:r>
      <w:r w:rsidR="005F742A">
        <w:rPr>
          <w:sz w:val="20"/>
          <w:szCs w:val="20"/>
        </w:rPr>
        <w:t xml:space="preserve">(n </w:t>
      </w:r>
      <w:r w:rsidR="000F6A3D">
        <w:rPr>
          <w:sz w:val="20"/>
          <w:szCs w:val="20"/>
        </w:rPr>
        <w:t>8</w:t>
      </w:r>
      <w:r w:rsidR="005F742A">
        <w:rPr>
          <w:sz w:val="20"/>
          <w:szCs w:val="20"/>
        </w:rPr>
        <w:t>)</w:t>
      </w:r>
      <w:r w:rsidRPr="003F5D3D">
        <w:rPr>
          <w:sz w:val="20"/>
          <w:szCs w:val="20"/>
        </w:rPr>
        <w:t xml:space="preserve">; </w:t>
      </w:r>
      <w:proofErr w:type="spellStart"/>
      <w:r w:rsidRPr="003F5D3D">
        <w:rPr>
          <w:sz w:val="20"/>
          <w:szCs w:val="20"/>
        </w:rPr>
        <w:t>Peuchguirbal</w:t>
      </w:r>
      <w:proofErr w:type="spellEnd"/>
      <w:r w:rsidRPr="003F5D3D">
        <w:rPr>
          <w:sz w:val="20"/>
          <w:szCs w:val="20"/>
        </w:rPr>
        <w:t xml:space="preserve"> </w:t>
      </w:r>
      <w:r w:rsidR="005F742A">
        <w:rPr>
          <w:sz w:val="20"/>
          <w:szCs w:val="20"/>
        </w:rPr>
        <w:t>(n 8).</w:t>
      </w:r>
    </w:p>
  </w:footnote>
  <w:footnote w:id="59">
    <w:p w14:paraId="277D51F2" w14:textId="73C1FC45" w:rsidR="0011027D" w:rsidRPr="003F5D3D" w:rsidRDefault="0011027D" w:rsidP="00E86D64">
      <w:pPr>
        <w:jc w:val="both"/>
        <w:rPr>
          <w:sz w:val="20"/>
          <w:szCs w:val="20"/>
        </w:rPr>
      </w:pPr>
      <w:r w:rsidRPr="003F5D3D">
        <w:rPr>
          <w:sz w:val="20"/>
          <w:szCs w:val="20"/>
          <w:vertAlign w:val="superscript"/>
        </w:rPr>
        <w:footnoteRef/>
      </w:r>
      <w:r w:rsidRPr="003F5D3D">
        <w:rPr>
          <w:sz w:val="20"/>
          <w:szCs w:val="20"/>
        </w:rPr>
        <w:t xml:space="preserve"> </w:t>
      </w:r>
      <w:r w:rsidRPr="006D6706">
        <w:rPr>
          <w:sz w:val="20"/>
          <w:szCs w:val="20"/>
        </w:rPr>
        <w:t xml:space="preserve">Gina </w:t>
      </w:r>
      <w:proofErr w:type="spellStart"/>
      <w:r w:rsidRPr="006D6706">
        <w:rPr>
          <w:sz w:val="20"/>
          <w:szCs w:val="20"/>
        </w:rPr>
        <w:t>Heathcoate</w:t>
      </w:r>
      <w:proofErr w:type="spellEnd"/>
      <w:r>
        <w:rPr>
          <w:sz w:val="20"/>
          <w:szCs w:val="20"/>
        </w:rPr>
        <w:t>, ‘</w:t>
      </w:r>
      <w:r w:rsidRPr="006D6706">
        <w:rPr>
          <w:sz w:val="20"/>
          <w:szCs w:val="20"/>
        </w:rPr>
        <w:t>Naming and Shaming: Human Rights Accountability in Security Council Resolution 1960 (2010) on Women, Peace and Security</w:t>
      </w:r>
      <w:r>
        <w:rPr>
          <w:sz w:val="20"/>
          <w:szCs w:val="20"/>
        </w:rPr>
        <w:t>’</w:t>
      </w:r>
      <w:r w:rsidRPr="006D6706">
        <w:rPr>
          <w:sz w:val="20"/>
          <w:szCs w:val="20"/>
        </w:rPr>
        <w:t xml:space="preserve"> (2012) </w:t>
      </w:r>
      <w:r>
        <w:rPr>
          <w:sz w:val="20"/>
          <w:szCs w:val="20"/>
        </w:rPr>
        <w:t xml:space="preserve">4 </w:t>
      </w:r>
      <w:r w:rsidRPr="006D6706">
        <w:rPr>
          <w:i/>
          <w:iCs/>
          <w:sz w:val="20"/>
          <w:szCs w:val="20"/>
        </w:rPr>
        <w:t>Journal of Human Rights Practice</w:t>
      </w:r>
      <w:r>
        <w:rPr>
          <w:sz w:val="20"/>
          <w:szCs w:val="20"/>
        </w:rPr>
        <w:t xml:space="preserve"> </w:t>
      </w:r>
      <w:r w:rsidRPr="006D6706">
        <w:rPr>
          <w:sz w:val="20"/>
          <w:szCs w:val="20"/>
        </w:rPr>
        <w:t>82</w:t>
      </w:r>
      <w:r w:rsidR="005F742A">
        <w:rPr>
          <w:sz w:val="20"/>
          <w:szCs w:val="20"/>
        </w:rPr>
        <w:t>.</w:t>
      </w:r>
    </w:p>
  </w:footnote>
  <w:footnote w:id="60">
    <w:p w14:paraId="0DBD740E" w14:textId="51CCD94B" w:rsidR="0011027D" w:rsidRPr="003F5D3D" w:rsidRDefault="0011027D" w:rsidP="006E4806">
      <w:pPr>
        <w:jc w:val="both"/>
        <w:rPr>
          <w:sz w:val="20"/>
          <w:szCs w:val="20"/>
        </w:rPr>
      </w:pPr>
      <w:r w:rsidRPr="003F5D3D">
        <w:rPr>
          <w:sz w:val="20"/>
          <w:szCs w:val="20"/>
          <w:vertAlign w:val="superscript"/>
        </w:rPr>
        <w:footnoteRef/>
      </w:r>
      <w:r w:rsidRPr="003F5D3D">
        <w:rPr>
          <w:sz w:val="20"/>
          <w:szCs w:val="20"/>
        </w:rPr>
        <w:t xml:space="preserve"> Werner and </w:t>
      </w:r>
      <w:proofErr w:type="spellStart"/>
      <w:r w:rsidRPr="003F5D3D">
        <w:rPr>
          <w:sz w:val="20"/>
          <w:szCs w:val="20"/>
        </w:rPr>
        <w:t>Stavrevska</w:t>
      </w:r>
      <w:proofErr w:type="spellEnd"/>
      <w:r w:rsidR="00FD4A0E">
        <w:rPr>
          <w:sz w:val="20"/>
          <w:szCs w:val="20"/>
        </w:rPr>
        <w:t xml:space="preserve"> (n 13)</w:t>
      </w:r>
    </w:p>
  </w:footnote>
  <w:footnote w:id="61">
    <w:p w14:paraId="3819E6F9" w14:textId="4F2637FF" w:rsidR="0011027D" w:rsidRDefault="0011027D" w:rsidP="006E4806">
      <w:pPr>
        <w:jc w:val="both"/>
        <w:rPr>
          <w:sz w:val="20"/>
          <w:szCs w:val="20"/>
        </w:rPr>
      </w:pPr>
      <w:r w:rsidRPr="003F5D3D">
        <w:rPr>
          <w:sz w:val="20"/>
          <w:szCs w:val="20"/>
          <w:vertAlign w:val="superscript"/>
        </w:rPr>
        <w:footnoteRef/>
      </w:r>
      <w:r w:rsidRPr="003F5D3D">
        <w:rPr>
          <w:sz w:val="20"/>
          <w:szCs w:val="20"/>
        </w:rPr>
        <w:t xml:space="preserve"> Puechguirba</w:t>
      </w:r>
      <w:r w:rsidR="00FD4A0E">
        <w:rPr>
          <w:sz w:val="20"/>
          <w:szCs w:val="20"/>
        </w:rPr>
        <w:t xml:space="preserve">l (n </w:t>
      </w:r>
      <w:r w:rsidR="001D4066">
        <w:rPr>
          <w:sz w:val="20"/>
          <w:szCs w:val="20"/>
        </w:rPr>
        <w:t>31</w:t>
      </w:r>
      <w:r w:rsidR="00FD4A0E">
        <w:rPr>
          <w:sz w:val="20"/>
          <w:szCs w:val="20"/>
        </w:rPr>
        <w:t>)</w:t>
      </w:r>
      <w:r w:rsidRPr="003F5D3D">
        <w:rPr>
          <w:sz w:val="20"/>
          <w:szCs w:val="20"/>
        </w:rPr>
        <w:t>, 173</w:t>
      </w:r>
      <w:r w:rsidR="0086005A">
        <w:rPr>
          <w:sz w:val="20"/>
          <w:szCs w:val="20"/>
        </w:rPr>
        <w:t>.</w:t>
      </w:r>
    </w:p>
  </w:footnote>
  <w:footnote w:id="62">
    <w:p w14:paraId="44D71876" w14:textId="0A45B7A4" w:rsidR="0011027D" w:rsidRDefault="0011027D">
      <w:pPr>
        <w:pStyle w:val="FootnoteText"/>
      </w:pPr>
      <w:r>
        <w:rPr>
          <w:rStyle w:val="FootnoteReference"/>
        </w:rPr>
        <w:footnoteRef/>
      </w:r>
      <w:r>
        <w:t xml:space="preserve"> </w:t>
      </w:r>
      <w:r w:rsidRPr="00C66395">
        <w:rPr>
          <w:highlight w:val="white"/>
        </w:rPr>
        <w:t>For a quantitative analysis demonstrating the fact of separate presentation of the four pillars of the agenda see Kirby and Shepherd</w:t>
      </w:r>
      <w:r w:rsidR="00FD4A0E">
        <w:rPr>
          <w:highlight w:val="white"/>
        </w:rPr>
        <w:t xml:space="preserve"> (n 14)</w:t>
      </w:r>
      <w:r w:rsidRPr="00C66395">
        <w:rPr>
          <w:highlight w:val="white"/>
        </w:rPr>
        <w:t>.</w:t>
      </w:r>
    </w:p>
  </w:footnote>
  <w:footnote w:id="63">
    <w:p w14:paraId="2029FFF3" w14:textId="799FB6D5" w:rsidR="0011027D" w:rsidRPr="006D6706" w:rsidRDefault="0011027D" w:rsidP="006D6706">
      <w:pPr>
        <w:pStyle w:val="FootnoteText"/>
        <w:rPr>
          <w:highlight w:val="white"/>
        </w:rPr>
      </w:pPr>
      <w:r>
        <w:rPr>
          <w:rStyle w:val="FootnoteReference"/>
        </w:rPr>
        <w:footnoteRef/>
      </w:r>
      <w:r>
        <w:rPr>
          <w:highlight w:val="white"/>
        </w:rPr>
        <w:t xml:space="preserve"> </w:t>
      </w:r>
      <w:r w:rsidRPr="006D6706">
        <w:rPr>
          <w:highlight w:val="white"/>
        </w:rPr>
        <w:t xml:space="preserve">Michael C. Wood </w:t>
      </w:r>
      <w:r>
        <w:rPr>
          <w:highlight w:val="white"/>
        </w:rPr>
        <w:t>‘</w:t>
      </w:r>
      <w:r w:rsidRPr="006D6706">
        <w:rPr>
          <w:highlight w:val="white"/>
        </w:rPr>
        <w:t>The Interpretation of UN Security Council Resolutions</w:t>
      </w:r>
      <w:r>
        <w:rPr>
          <w:highlight w:val="white"/>
        </w:rPr>
        <w:t>’ (1</w:t>
      </w:r>
      <w:r w:rsidRPr="006D6706">
        <w:rPr>
          <w:highlight w:val="white"/>
        </w:rPr>
        <w:t>998</w:t>
      </w:r>
      <w:r>
        <w:rPr>
          <w:highlight w:val="white"/>
        </w:rPr>
        <w:t xml:space="preserve">) 2 </w:t>
      </w:r>
      <w:r w:rsidRPr="006D6706">
        <w:rPr>
          <w:i/>
          <w:iCs/>
          <w:highlight w:val="white"/>
        </w:rPr>
        <w:t>Max Planck Yearbook of United Nations Law</w:t>
      </w:r>
      <w:r w:rsidRPr="006D6706">
        <w:rPr>
          <w:highlight w:val="white"/>
        </w:rPr>
        <w:t>: 73-95.</w:t>
      </w:r>
    </w:p>
  </w:footnote>
  <w:footnote w:id="64">
    <w:p w14:paraId="00DD8C3E" w14:textId="5B1A8DAF" w:rsidR="0011027D" w:rsidRDefault="0011027D">
      <w:pPr>
        <w:pStyle w:val="FootnoteText"/>
      </w:pPr>
      <w:r>
        <w:rPr>
          <w:rStyle w:val="FootnoteReference"/>
        </w:rPr>
        <w:footnoteRef/>
      </w:r>
      <w:r>
        <w:t xml:space="preserve"> </w:t>
      </w:r>
      <w:r w:rsidRPr="00C66395">
        <w:rPr>
          <w:highlight w:val="white"/>
        </w:rPr>
        <w:t xml:space="preserve">O’Rourke </w:t>
      </w:r>
      <w:r w:rsidR="002F6CE9">
        <w:t>(n 5</w:t>
      </w:r>
      <w:r w:rsidR="001D4066">
        <w:t>7</w:t>
      </w:r>
      <w:r w:rsidR="002F6CE9">
        <w:t>)</w:t>
      </w:r>
      <w:r w:rsidR="0086005A">
        <w:t>.</w:t>
      </w:r>
    </w:p>
  </w:footnote>
  <w:footnote w:id="65">
    <w:p w14:paraId="1F391AFD" w14:textId="1E3140B8" w:rsidR="0011027D" w:rsidRDefault="0011027D">
      <w:pPr>
        <w:pStyle w:val="FootnoteText"/>
      </w:pPr>
      <w:r>
        <w:rPr>
          <w:rStyle w:val="FootnoteReference"/>
        </w:rPr>
        <w:footnoteRef/>
      </w:r>
      <w:r>
        <w:t xml:space="preserve"> </w:t>
      </w:r>
      <w:r w:rsidRPr="00C66395">
        <w:rPr>
          <w:highlight w:val="white"/>
        </w:rPr>
        <w:t xml:space="preserve">O’Rourke </w:t>
      </w:r>
      <w:r w:rsidR="002F6CE9">
        <w:t>(n 5</w:t>
      </w:r>
      <w:r w:rsidR="001D4066">
        <w:t>7</w:t>
      </w:r>
      <w:r w:rsidR="002F6CE9">
        <w:t>)</w:t>
      </w:r>
      <w:r w:rsidR="0086005A">
        <w:t>.</w:t>
      </w:r>
    </w:p>
  </w:footnote>
  <w:footnote w:id="66">
    <w:p w14:paraId="55DBBBDE" w14:textId="6A763717" w:rsidR="008B0136" w:rsidRDefault="0011027D">
      <w:pPr>
        <w:pStyle w:val="FootnoteText"/>
      </w:pPr>
      <w:r>
        <w:rPr>
          <w:rStyle w:val="FootnoteReference"/>
        </w:rPr>
        <w:footnoteRef/>
      </w:r>
      <w:r>
        <w:t xml:space="preserve"> </w:t>
      </w:r>
      <w:r w:rsidR="008B0136" w:rsidRPr="001E7EFD">
        <w:t>UNSC Res</w:t>
      </w:r>
      <w:r w:rsidR="008B0136">
        <w:t xml:space="preserve"> 2242</w:t>
      </w:r>
      <w:r w:rsidR="008B0136" w:rsidRPr="00D37B74">
        <w:t xml:space="preserve"> (201</w:t>
      </w:r>
      <w:r w:rsidR="008B0136">
        <w:t>5</w:t>
      </w:r>
      <w:r w:rsidR="008B0136" w:rsidRPr="00D37B74">
        <w:t xml:space="preserve">) UN Doc. S/RES </w:t>
      </w:r>
      <w:r w:rsidR="008B0136">
        <w:t>2242</w:t>
      </w:r>
      <w:r w:rsidR="008B0136" w:rsidRPr="00D37B74">
        <w:t>/201</w:t>
      </w:r>
      <w:r w:rsidR="008B0136">
        <w:t>5; UNSC (n 39)</w:t>
      </w:r>
      <w:r w:rsidR="003F0539">
        <w:t>.</w:t>
      </w:r>
    </w:p>
  </w:footnote>
  <w:footnote w:id="67">
    <w:p w14:paraId="32CE9EA3" w14:textId="75B07E91" w:rsidR="00F06A7B" w:rsidRPr="00494CEE" w:rsidRDefault="0011027D" w:rsidP="00F06A7B">
      <w:pPr>
        <w:rPr>
          <w:sz w:val="20"/>
          <w:szCs w:val="20"/>
        </w:rPr>
      </w:pPr>
      <w:r w:rsidRPr="002754BD">
        <w:rPr>
          <w:rStyle w:val="FootnoteReference"/>
          <w:sz w:val="20"/>
          <w:szCs w:val="20"/>
        </w:rPr>
        <w:footnoteRef/>
      </w:r>
      <w:r w:rsidRPr="002754BD">
        <w:rPr>
          <w:sz w:val="20"/>
          <w:szCs w:val="20"/>
        </w:rPr>
        <w:t xml:space="preserve"> </w:t>
      </w:r>
      <w:r w:rsidR="003F0539" w:rsidRPr="002754BD">
        <w:rPr>
          <w:sz w:val="20"/>
          <w:szCs w:val="20"/>
        </w:rPr>
        <w:t xml:space="preserve">UNSC Res 2122 (2013) UN Doc. S/RES 2122/2013; </w:t>
      </w:r>
      <w:r w:rsidR="002754BD" w:rsidRPr="002754BD">
        <w:rPr>
          <w:sz w:val="20"/>
          <w:szCs w:val="20"/>
        </w:rPr>
        <w:t xml:space="preserve">UNSC Res 1889 (2009) UN Doc. S/RES 1889/2009; </w:t>
      </w:r>
      <w:r w:rsidR="003F0539" w:rsidRPr="002754BD">
        <w:rPr>
          <w:sz w:val="20"/>
          <w:szCs w:val="20"/>
        </w:rPr>
        <w:t>UNSC (n 3</w:t>
      </w:r>
      <w:r w:rsidR="008A533C">
        <w:rPr>
          <w:sz w:val="20"/>
          <w:szCs w:val="20"/>
        </w:rPr>
        <w:t>2</w:t>
      </w:r>
      <w:r w:rsidR="003F0539" w:rsidRPr="002754BD">
        <w:rPr>
          <w:sz w:val="20"/>
          <w:szCs w:val="20"/>
        </w:rPr>
        <w:t>)</w:t>
      </w:r>
      <w:r w:rsidR="002754BD" w:rsidRPr="002754BD">
        <w:rPr>
          <w:sz w:val="20"/>
          <w:szCs w:val="20"/>
        </w:rPr>
        <w:t xml:space="preserve">; </w:t>
      </w:r>
      <w:r w:rsidR="003F0539" w:rsidRPr="002754BD">
        <w:rPr>
          <w:sz w:val="20"/>
          <w:szCs w:val="20"/>
        </w:rPr>
        <w:t xml:space="preserve">See also </w:t>
      </w:r>
      <w:r w:rsidR="002754BD" w:rsidRPr="002754BD">
        <w:rPr>
          <w:sz w:val="20"/>
          <w:szCs w:val="20"/>
        </w:rPr>
        <w:t>UNSC</w:t>
      </w:r>
      <w:r w:rsidR="00F06A7B">
        <w:rPr>
          <w:sz w:val="20"/>
          <w:szCs w:val="20"/>
        </w:rPr>
        <w:t>,</w:t>
      </w:r>
      <w:r w:rsidR="002754BD" w:rsidRPr="002754BD">
        <w:rPr>
          <w:sz w:val="20"/>
          <w:szCs w:val="20"/>
        </w:rPr>
        <w:t xml:space="preserve"> </w:t>
      </w:r>
      <w:r w:rsidR="00F06A7B">
        <w:rPr>
          <w:sz w:val="20"/>
          <w:szCs w:val="20"/>
        </w:rPr>
        <w:t>‘</w:t>
      </w:r>
      <w:r w:rsidR="003F0539" w:rsidRPr="002754BD">
        <w:rPr>
          <w:sz w:val="20"/>
          <w:szCs w:val="20"/>
        </w:rPr>
        <w:t>Report of the Secretary General, United Nations Activities in Support of Mediation</w:t>
      </w:r>
      <w:r w:rsidR="00F06A7B">
        <w:rPr>
          <w:sz w:val="20"/>
          <w:szCs w:val="20"/>
        </w:rPr>
        <w:t>’ (27 June 2017)</w:t>
      </w:r>
      <w:r w:rsidR="003F0539" w:rsidRPr="002754BD">
        <w:rPr>
          <w:sz w:val="20"/>
          <w:szCs w:val="20"/>
        </w:rPr>
        <w:t xml:space="preserve"> UN </w:t>
      </w:r>
      <w:r w:rsidR="003F0539" w:rsidRPr="00494CEE">
        <w:rPr>
          <w:sz w:val="20"/>
          <w:szCs w:val="20"/>
        </w:rPr>
        <w:t>Doc. A/72/115</w:t>
      </w:r>
      <w:r w:rsidR="002754BD" w:rsidRPr="00494CEE">
        <w:rPr>
          <w:sz w:val="20"/>
          <w:szCs w:val="20"/>
        </w:rPr>
        <w:t xml:space="preserve">; </w:t>
      </w:r>
      <w:r w:rsidR="003365D1" w:rsidRPr="00494CEE">
        <w:rPr>
          <w:sz w:val="20"/>
          <w:szCs w:val="20"/>
        </w:rPr>
        <w:t xml:space="preserve">Catherine </w:t>
      </w:r>
      <w:r w:rsidRPr="00494CEE">
        <w:rPr>
          <w:sz w:val="20"/>
          <w:szCs w:val="20"/>
        </w:rPr>
        <w:t>Turner</w:t>
      </w:r>
      <w:r w:rsidR="003365D1" w:rsidRPr="00494CEE">
        <w:rPr>
          <w:sz w:val="20"/>
          <w:szCs w:val="20"/>
        </w:rPr>
        <w:t>, ‘Absent or Invisible? Women Mediators and the United Nations’</w:t>
      </w:r>
      <w:r w:rsidRPr="00494CEE">
        <w:rPr>
          <w:sz w:val="20"/>
          <w:szCs w:val="20"/>
        </w:rPr>
        <w:t xml:space="preserve"> </w:t>
      </w:r>
      <w:r w:rsidR="003365D1" w:rsidRPr="00494CEE">
        <w:rPr>
          <w:sz w:val="20"/>
          <w:szCs w:val="20"/>
        </w:rPr>
        <w:t xml:space="preserve">(2018) </w:t>
      </w:r>
      <w:r w:rsidR="003F54B3" w:rsidRPr="00494CEE">
        <w:rPr>
          <w:sz w:val="20"/>
          <w:szCs w:val="20"/>
        </w:rPr>
        <w:t xml:space="preserve">9 </w:t>
      </w:r>
      <w:r w:rsidR="003365D1" w:rsidRPr="00494CEE">
        <w:rPr>
          <w:sz w:val="20"/>
          <w:szCs w:val="20"/>
        </w:rPr>
        <w:t>Global Policy</w:t>
      </w:r>
      <w:r w:rsidR="003F54B3" w:rsidRPr="00494CEE">
        <w:rPr>
          <w:sz w:val="20"/>
          <w:szCs w:val="20"/>
        </w:rPr>
        <w:t xml:space="preserve"> 244</w:t>
      </w:r>
      <w:r w:rsidR="002754BD" w:rsidRPr="00494CEE">
        <w:rPr>
          <w:sz w:val="20"/>
          <w:szCs w:val="20"/>
        </w:rPr>
        <w:t>.</w:t>
      </w:r>
    </w:p>
  </w:footnote>
  <w:footnote w:id="68">
    <w:p w14:paraId="08E211EC" w14:textId="51DC2DB2" w:rsidR="0011027D" w:rsidRPr="00494CEE" w:rsidRDefault="0011027D">
      <w:pPr>
        <w:pStyle w:val="FootnoteText"/>
      </w:pPr>
      <w:r w:rsidRPr="00494CEE">
        <w:rPr>
          <w:rStyle w:val="FootnoteReference"/>
        </w:rPr>
        <w:footnoteRef/>
      </w:r>
      <w:r w:rsidRPr="00494CEE">
        <w:t xml:space="preserve"> UNSC </w:t>
      </w:r>
      <w:r w:rsidR="002754BD" w:rsidRPr="00494CEE">
        <w:t>2013 (n 6</w:t>
      </w:r>
      <w:r w:rsidR="008A533C">
        <w:t>7</w:t>
      </w:r>
      <w:r w:rsidR="002754BD" w:rsidRPr="00494CEE">
        <w:t>)</w:t>
      </w:r>
      <w:r w:rsidR="00620DA3">
        <w:t>.</w:t>
      </w:r>
    </w:p>
  </w:footnote>
  <w:footnote w:id="69">
    <w:p w14:paraId="622A4871" w14:textId="3D88C228" w:rsidR="0011027D" w:rsidRDefault="0011027D" w:rsidP="003F54B3">
      <w:pPr>
        <w:pStyle w:val="CityState"/>
        <w:keepNext w:val="0"/>
        <w:widowControl w:val="0"/>
        <w:tabs>
          <w:tab w:val="left" w:pos="9026"/>
        </w:tabs>
        <w:spacing w:line="276" w:lineRule="auto"/>
        <w:ind w:left="0" w:right="1077"/>
        <w:jc w:val="both"/>
      </w:pPr>
      <w:r w:rsidRPr="00494CEE">
        <w:rPr>
          <w:rStyle w:val="FootnoteReference"/>
          <w:rFonts w:ascii="Times New Roman" w:hAnsi="Times New Roman"/>
          <w:sz w:val="20"/>
        </w:rPr>
        <w:footnoteRef/>
      </w:r>
      <w:r w:rsidRPr="00494CEE">
        <w:rPr>
          <w:sz w:val="20"/>
        </w:rPr>
        <w:t xml:space="preserve"> </w:t>
      </w:r>
      <w:r w:rsidR="003F54B3" w:rsidRPr="00494CEE">
        <w:rPr>
          <w:rFonts w:ascii="Times New Roman" w:hAnsi="Times New Roman"/>
          <w:sz w:val="20"/>
        </w:rPr>
        <w:t xml:space="preserve">Catherine </w:t>
      </w:r>
      <w:r w:rsidRPr="00494CEE">
        <w:rPr>
          <w:rFonts w:ascii="Times New Roman" w:hAnsi="Times New Roman"/>
          <w:sz w:val="20"/>
        </w:rPr>
        <w:t>Turner and</w:t>
      </w:r>
      <w:r w:rsidR="003F54B3" w:rsidRPr="00494CEE">
        <w:rPr>
          <w:rFonts w:ascii="Times New Roman" w:hAnsi="Times New Roman"/>
          <w:sz w:val="20"/>
        </w:rPr>
        <w:t xml:space="preserve"> Christine</w:t>
      </w:r>
      <w:r w:rsidRPr="00494CEE">
        <w:rPr>
          <w:rFonts w:ascii="Times New Roman" w:hAnsi="Times New Roman"/>
          <w:sz w:val="20"/>
        </w:rPr>
        <w:t xml:space="preserve"> Bell</w:t>
      </w:r>
      <w:r w:rsidR="003F54B3" w:rsidRPr="00494CEE">
        <w:rPr>
          <w:rFonts w:ascii="Times New Roman" w:hAnsi="Times New Roman"/>
          <w:sz w:val="20"/>
        </w:rPr>
        <w:t xml:space="preserve">, </w:t>
      </w:r>
      <w:r w:rsidR="003F54B3" w:rsidRPr="00494CEE">
        <w:rPr>
          <w:rFonts w:ascii="Times New Roman" w:hAnsi="Times New Roman"/>
          <w:bCs/>
          <w:i/>
          <w:iCs/>
          <w:sz w:val="20"/>
          <w:lang w:val="en-GB"/>
        </w:rPr>
        <w:t>Increasing the Representation of Women Mediators Through Collaborative Leadership Models for Enhancing Equality</w:t>
      </w:r>
      <w:r w:rsidR="003F54B3" w:rsidRPr="003F54B3">
        <w:rPr>
          <w:rFonts w:ascii="Times New Roman" w:hAnsi="Times New Roman"/>
          <w:bCs/>
          <w:i/>
          <w:iCs/>
          <w:sz w:val="20"/>
          <w:lang w:val="en-GB"/>
        </w:rPr>
        <w:t xml:space="preserve"> </w:t>
      </w:r>
      <w:r w:rsidR="003F54B3" w:rsidRPr="003F54B3">
        <w:rPr>
          <w:rFonts w:ascii="Times New Roman" w:hAnsi="Times New Roman"/>
          <w:bCs/>
          <w:sz w:val="20"/>
          <w:lang w:val="en-GB"/>
        </w:rPr>
        <w:t>(UN Women 2021).</w:t>
      </w:r>
    </w:p>
  </w:footnote>
  <w:footnote w:id="70">
    <w:p w14:paraId="79A33FBE" w14:textId="3DE5391C" w:rsidR="0011027D" w:rsidRDefault="0011027D">
      <w:pPr>
        <w:pStyle w:val="FootnoteText"/>
      </w:pPr>
      <w:r w:rsidRPr="002754BD">
        <w:rPr>
          <w:rStyle w:val="FootnoteReference"/>
        </w:rPr>
        <w:footnoteRef/>
      </w:r>
      <w:r w:rsidRPr="002754BD">
        <w:t xml:space="preserve"> </w:t>
      </w:r>
      <w:r w:rsidR="002754BD" w:rsidRPr="002754BD">
        <w:t>UNSC</w:t>
      </w:r>
      <w:r w:rsidRPr="002754BD">
        <w:t xml:space="preserve"> 2017</w:t>
      </w:r>
      <w:r w:rsidR="002754BD" w:rsidRPr="002754BD">
        <w:t xml:space="preserve"> (n 6</w:t>
      </w:r>
      <w:r w:rsidR="008A533C">
        <w:t>7</w:t>
      </w:r>
      <w:r w:rsidR="002754BD" w:rsidRPr="002754BD">
        <w:t>).</w:t>
      </w:r>
    </w:p>
  </w:footnote>
  <w:footnote w:id="71">
    <w:p w14:paraId="44A2F53E" w14:textId="55122ADF" w:rsidR="0011027D" w:rsidRDefault="0011027D">
      <w:pPr>
        <w:pStyle w:val="FootnoteText"/>
      </w:pPr>
      <w:r w:rsidRPr="002754BD">
        <w:rPr>
          <w:rStyle w:val="FootnoteReference"/>
        </w:rPr>
        <w:footnoteRef/>
      </w:r>
      <w:r w:rsidRPr="002754BD">
        <w:t xml:space="preserve"> UNSC 2013</w:t>
      </w:r>
      <w:r w:rsidR="002754BD" w:rsidRPr="002754BD">
        <w:t xml:space="preserve"> (n 6</w:t>
      </w:r>
      <w:r w:rsidR="008A533C">
        <w:t>7</w:t>
      </w:r>
      <w:r w:rsidR="002754BD" w:rsidRPr="002754BD">
        <w:t>)</w:t>
      </w:r>
      <w:r w:rsidRPr="002754BD">
        <w:t xml:space="preserve"> PP</w:t>
      </w:r>
      <w:r w:rsidR="002754BD" w:rsidRPr="002754BD">
        <w:t>.</w:t>
      </w:r>
    </w:p>
  </w:footnote>
  <w:footnote w:id="72">
    <w:p w14:paraId="1121AFBA" w14:textId="30D00F11" w:rsidR="0011027D" w:rsidRDefault="0011027D">
      <w:pPr>
        <w:pStyle w:val="FootnoteText"/>
      </w:pPr>
      <w:r>
        <w:rPr>
          <w:rStyle w:val="FootnoteReference"/>
        </w:rPr>
        <w:footnoteRef/>
      </w:r>
      <w:r>
        <w:t xml:space="preserve"> </w:t>
      </w:r>
      <w:r w:rsidRPr="002754BD">
        <w:t>UNSC 2008</w:t>
      </w:r>
      <w:r w:rsidR="002754BD" w:rsidRPr="002754BD">
        <w:t xml:space="preserve"> (n 3</w:t>
      </w:r>
      <w:r w:rsidR="00A0760A">
        <w:t>3</w:t>
      </w:r>
      <w:r w:rsidR="002754BD" w:rsidRPr="002754BD">
        <w:t>)</w:t>
      </w:r>
      <w:r w:rsidRPr="002754BD">
        <w:t xml:space="preserve"> PP</w:t>
      </w:r>
      <w:r w:rsidR="002754BD" w:rsidRPr="002754BD">
        <w:t>.</w:t>
      </w:r>
    </w:p>
  </w:footnote>
  <w:footnote w:id="73">
    <w:p w14:paraId="3649C0CA" w14:textId="0E029203" w:rsidR="0011027D" w:rsidRDefault="0011027D">
      <w:pPr>
        <w:pStyle w:val="FootnoteText"/>
      </w:pPr>
      <w:r>
        <w:rPr>
          <w:rStyle w:val="FootnoteReference"/>
        </w:rPr>
        <w:footnoteRef/>
      </w:r>
      <w:r>
        <w:t xml:space="preserve"> </w:t>
      </w:r>
      <w:r w:rsidR="002754BD">
        <w:t>UNSC Res 2538 (2020) UN Doc. S/RES/2538 (2020).</w:t>
      </w:r>
    </w:p>
  </w:footnote>
  <w:footnote w:id="74">
    <w:p w14:paraId="261769CA" w14:textId="10159A9E" w:rsidR="0011027D" w:rsidRDefault="0011027D">
      <w:pPr>
        <w:pStyle w:val="FootnoteText"/>
      </w:pPr>
      <w:r>
        <w:rPr>
          <w:rStyle w:val="FootnoteReference"/>
        </w:rPr>
        <w:footnoteRef/>
      </w:r>
      <w:r>
        <w:t xml:space="preserve"> </w:t>
      </w:r>
      <w:r w:rsidRPr="00C66395">
        <w:rPr>
          <w:highlight w:val="white"/>
        </w:rPr>
        <w:t xml:space="preserve">Kirby and Shepherd </w:t>
      </w:r>
      <w:r w:rsidR="002F6CE9">
        <w:t>(n 1</w:t>
      </w:r>
      <w:r w:rsidR="00FD4A0E">
        <w:t>4</w:t>
      </w:r>
      <w:r w:rsidR="002F6CE9">
        <w:t>).</w:t>
      </w:r>
    </w:p>
  </w:footnote>
  <w:footnote w:id="75">
    <w:p w14:paraId="5632D9E8" w14:textId="47488416" w:rsidR="0011027D" w:rsidRDefault="0011027D">
      <w:pPr>
        <w:pStyle w:val="FootnoteText"/>
      </w:pPr>
      <w:r w:rsidRPr="003F54B3">
        <w:rPr>
          <w:rStyle w:val="FootnoteReference"/>
        </w:rPr>
        <w:footnoteRef/>
      </w:r>
      <w:r w:rsidRPr="003F54B3">
        <w:t xml:space="preserve"> For an overview of ‘descriptive’ representation see</w:t>
      </w:r>
      <w:r w:rsidR="003F54B3">
        <w:t xml:space="preserve"> O’Rourke </w:t>
      </w:r>
      <w:r w:rsidR="002F6CE9">
        <w:t>(n 5</w:t>
      </w:r>
      <w:r w:rsidR="001D4066">
        <w:t>7</w:t>
      </w:r>
      <w:r w:rsidR="002F6CE9">
        <w:t>).</w:t>
      </w:r>
    </w:p>
  </w:footnote>
  <w:footnote w:id="76">
    <w:p w14:paraId="2A57002E" w14:textId="54868AAC" w:rsidR="0011027D" w:rsidRDefault="0011027D">
      <w:pPr>
        <w:pStyle w:val="FootnoteText"/>
      </w:pPr>
      <w:r w:rsidRPr="002754BD">
        <w:rPr>
          <w:rStyle w:val="FootnoteReference"/>
        </w:rPr>
        <w:footnoteRef/>
      </w:r>
      <w:r w:rsidRPr="002754BD">
        <w:t xml:space="preserve"> UNSC 2013</w:t>
      </w:r>
      <w:r w:rsidR="002754BD" w:rsidRPr="002754BD">
        <w:t xml:space="preserve"> (n 6</w:t>
      </w:r>
      <w:r w:rsidR="00A0760A">
        <w:t>7</w:t>
      </w:r>
      <w:r w:rsidR="002754BD" w:rsidRPr="002754BD">
        <w:t>)</w:t>
      </w:r>
      <w:r w:rsidRPr="002754BD">
        <w:t xml:space="preserve"> OP2(c).</w:t>
      </w:r>
    </w:p>
  </w:footnote>
  <w:footnote w:id="77">
    <w:p w14:paraId="6EEED376" w14:textId="31BAB8DF" w:rsidR="0011027D" w:rsidRPr="00FE1CFE" w:rsidRDefault="0011027D" w:rsidP="00E86D64">
      <w:pPr>
        <w:pStyle w:val="FootnoteText"/>
      </w:pPr>
      <w:r w:rsidRPr="00FE1CFE">
        <w:rPr>
          <w:rStyle w:val="FootnoteReference"/>
        </w:rPr>
        <w:footnoteRef/>
      </w:r>
      <w:r w:rsidRPr="00FE1CFE">
        <w:t xml:space="preserve"> See: </w:t>
      </w:r>
      <w:r w:rsidR="00F372A8" w:rsidRPr="00FE1CFE">
        <w:t xml:space="preserve">Maria </w:t>
      </w:r>
      <w:r w:rsidRPr="00FE1CFE">
        <w:rPr>
          <w:lang w:val="en-US"/>
        </w:rPr>
        <w:t xml:space="preserve">Eriksson </w:t>
      </w:r>
      <w:proofErr w:type="spellStart"/>
      <w:r w:rsidR="00F372A8" w:rsidRPr="00FE1CFE">
        <w:rPr>
          <w:lang w:val="en-US"/>
        </w:rPr>
        <w:t>Baaz</w:t>
      </w:r>
      <w:proofErr w:type="spellEnd"/>
      <w:r w:rsidR="00F372A8" w:rsidRPr="00FE1CFE">
        <w:rPr>
          <w:lang w:val="en-US"/>
        </w:rPr>
        <w:t xml:space="preserve"> </w:t>
      </w:r>
      <w:r w:rsidRPr="00FE1CFE">
        <w:rPr>
          <w:lang w:val="en-US"/>
        </w:rPr>
        <w:t>and Maria Stern</w:t>
      </w:r>
      <w:r w:rsidR="00620DA3">
        <w:rPr>
          <w:lang w:val="en-US"/>
        </w:rPr>
        <w:t>,</w:t>
      </w:r>
      <w:r w:rsidRPr="00FE1CFE">
        <w:rPr>
          <w:lang w:val="en-US"/>
        </w:rPr>
        <w:t xml:space="preserve"> </w:t>
      </w:r>
      <w:r w:rsidRPr="00FE1CFE">
        <w:rPr>
          <w:i/>
          <w:iCs/>
          <w:lang w:val="en-US"/>
        </w:rPr>
        <w:t xml:space="preserve">Sexual Violence as a Weapon of War: Perceptions, Prescriptions, Problems in the Congo and Beyond </w:t>
      </w:r>
      <w:r w:rsidRPr="00FE1CFE">
        <w:rPr>
          <w:lang w:val="en-US"/>
        </w:rPr>
        <w:t>(Zed Books 2013).</w:t>
      </w:r>
    </w:p>
  </w:footnote>
  <w:footnote w:id="78">
    <w:p w14:paraId="1EE26249" w14:textId="2F3CBC1C" w:rsidR="00887F2C" w:rsidRPr="00FE1CFE" w:rsidRDefault="00887F2C">
      <w:pPr>
        <w:pStyle w:val="FootnoteText"/>
      </w:pPr>
      <w:r w:rsidRPr="00FE1CFE">
        <w:rPr>
          <w:rStyle w:val="FootnoteReference"/>
        </w:rPr>
        <w:footnoteRef/>
      </w:r>
      <w:r w:rsidRPr="00FE1CFE">
        <w:t xml:space="preserve"> UNSC 2008</w:t>
      </w:r>
      <w:r w:rsidR="002754BD" w:rsidRPr="00FE1CFE">
        <w:t xml:space="preserve"> (n 3</w:t>
      </w:r>
      <w:r w:rsidR="00E0028D">
        <w:t>3</w:t>
      </w:r>
      <w:r w:rsidR="002754BD" w:rsidRPr="00FE1CFE">
        <w:t>)</w:t>
      </w:r>
      <w:r w:rsidRPr="00FE1CFE">
        <w:t xml:space="preserve"> OP1</w:t>
      </w:r>
      <w:r w:rsidR="002754BD" w:rsidRPr="00FE1CFE">
        <w:t>.</w:t>
      </w:r>
    </w:p>
  </w:footnote>
  <w:footnote w:id="79">
    <w:p w14:paraId="00776258" w14:textId="24E1F20C" w:rsidR="0011027D" w:rsidRPr="00FE1CFE" w:rsidRDefault="0011027D">
      <w:pPr>
        <w:pStyle w:val="FootnoteText"/>
      </w:pPr>
      <w:r w:rsidRPr="00FE1CFE">
        <w:rPr>
          <w:rStyle w:val="FootnoteReference"/>
        </w:rPr>
        <w:footnoteRef/>
      </w:r>
      <w:r w:rsidRPr="00FE1CFE">
        <w:t xml:space="preserve"> UNSC 2008</w:t>
      </w:r>
      <w:r w:rsidR="002754BD" w:rsidRPr="00FE1CFE">
        <w:t xml:space="preserve"> (n 3</w:t>
      </w:r>
      <w:r w:rsidR="00E0028D">
        <w:t>3</w:t>
      </w:r>
      <w:r w:rsidR="002754BD" w:rsidRPr="00FE1CFE">
        <w:t>)</w:t>
      </w:r>
      <w:r w:rsidRPr="00FE1CFE">
        <w:t xml:space="preserve"> OP1</w:t>
      </w:r>
      <w:r w:rsidR="002754BD" w:rsidRPr="00FE1CFE">
        <w:t>.</w:t>
      </w:r>
    </w:p>
  </w:footnote>
  <w:footnote w:id="80">
    <w:p w14:paraId="428F3E25" w14:textId="3E708A99" w:rsidR="0011027D" w:rsidRPr="00FE1CFE" w:rsidRDefault="0011027D" w:rsidP="002754BD">
      <w:pPr>
        <w:rPr>
          <w:sz w:val="20"/>
          <w:szCs w:val="20"/>
        </w:rPr>
      </w:pPr>
      <w:r w:rsidRPr="00FE1CFE">
        <w:rPr>
          <w:rStyle w:val="FootnoteReference"/>
        </w:rPr>
        <w:footnoteRef/>
      </w:r>
      <w:r w:rsidRPr="00FE1CFE">
        <w:t xml:space="preserve"> </w:t>
      </w:r>
      <w:r w:rsidR="002754BD" w:rsidRPr="00FE1CFE">
        <w:rPr>
          <w:sz w:val="20"/>
          <w:szCs w:val="20"/>
        </w:rPr>
        <w:t>UNSC Res 2106 (2013) UN Doc. S/RES 2106/</w:t>
      </w:r>
      <w:r w:rsidR="002754BD" w:rsidRPr="00620DA3">
        <w:rPr>
          <w:sz w:val="20"/>
          <w:szCs w:val="20"/>
        </w:rPr>
        <w:t xml:space="preserve">2013 </w:t>
      </w:r>
      <w:r w:rsidRPr="00620DA3">
        <w:rPr>
          <w:sz w:val="20"/>
          <w:szCs w:val="20"/>
        </w:rPr>
        <w:t>OP 2</w:t>
      </w:r>
      <w:r w:rsidR="002754BD" w:rsidRPr="00FE1CFE">
        <w:t>.</w:t>
      </w:r>
    </w:p>
  </w:footnote>
  <w:footnote w:id="81">
    <w:p w14:paraId="30D81019" w14:textId="7B1AF666" w:rsidR="0011027D" w:rsidRPr="00FE1CFE" w:rsidRDefault="0011027D">
      <w:pPr>
        <w:pStyle w:val="FootnoteText"/>
      </w:pPr>
      <w:r w:rsidRPr="00FE1CFE">
        <w:rPr>
          <w:rStyle w:val="FootnoteReference"/>
        </w:rPr>
        <w:footnoteRef/>
      </w:r>
      <w:r w:rsidRPr="00FE1CFE">
        <w:t xml:space="preserve"> UNSC 2019</w:t>
      </w:r>
      <w:r w:rsidR="002824A3" w:rsidRPr="00FE1CFE">
        <w:t xml:space="preserve"> (n </w:t>
      </w:r>
      <w:r w:rsidR="00E0028D">
        <w:t>40</w:t>
      </w:r>
      <w:r w:rsidR="002824A3" w:rsidRPr="00FE1CFE">
        <w:t>)</w:t>
      </w:r>
      <w:r w:rsidRPr="00FE1CFE">
        <w:t xml:space="preserve"> OP 1</w:t>
      </w:r>
      <w:r w:rsidR="002824A3" w:rsidRPr="00FE1CFE">
        <w:t>.</w:t>
      </w:r>
    </w:p>
  </w:footnote>
  <w:footnote w:id="82">
    <w:p w14:paraId="302B1494" w14:textId="09C1AD6D" w:rsidR="0011027D" w:rsidRPr="00FE1CFE" w:rsidRDefault="0011027D">
      <w:pPr>
        <w:pStyle w:val="FootnoteText"/>
      </w:pPr>
      <w:r w:rsidRPr="00FE1CFE">
        <w:rPr>
          <w:rStyle w:val="FootnoteReference"/>
        </w:rPr>
        <w:footnoteRef/>
      </w:r>
      <w:r w:rsidRPr="00FE1CFE">
        <w:t xml:space="preserve"> </w:t>
      </w:r>
      <w:r w:rsidR="002824A3" w:rsidRPr="00FE1CFE">
        <w:t xml:space="preserve">UNSC 2019 (n </w:t>
      </w:r>
      <w:r w:rsidR="00E0028D">
        <w:t>40</w:t>
      </w:r>
      <w:r w:rsidR="002824A3" w:rsidRPr="00FE1CFE">
        <w:t xml:space="preserve">) </w:t>
      </w:r>
      <w:r w:rsidRPr="00FE1CFE">
        <w:t>OP2</w:t>
      </w:r>
      <w:r w:rsidR="002824A3" w:rsidRPr="00FE1CFE">
        <w:t>.</w:t>
      </w:r>
    </w:p>
  </w:footnote>
  <w:footnote w:id="83">
    <w:p w14:paraId="02B05432" w14:textId="65528D83" w:rsidR="0011027D" w:rsidRPr="00FE1CFE" w:rsidRDefault="0011027D">
      <w:pPr>
        <w:pStyle w:val="FootnoteText"/>
      </w:pPr>
      <w:r w:rsidRPr="00FE1CFE">
        <w:rPr>
          <w:rStyle w:val="FootnoteReference"/>
        </w:rPr>
        <w:footnoteRef/>
      </w:r>
      <w:r w:rsidR="002824A3" w:rsidRPr="00FE1CFE">
        <w:t xml:space="preserve">UNSC 2019 (n </w:t>
      </w:r>
      <w:r w:rsidR="00E0028D">
        <w:t>40</w:t>
      </w:r>
      <w:r w:rsidR="002824A3" w:rsidRPr="00FE1CFE">
        <w:t>)</w:t>
      </w:r>
      <w:r w:rsidRPr="00FE1CFE">
        <w:t xml:space="preserve"> PP</w:t>
      </w:r>
      <w:r w:rsidR="002824A3" w:rsidRPr="00FE1CFE">
        <w:t>.</w:t>
      </w:r>
    </w:p>
  </w:footnote>
  <w:footnote w:id="84">
    <w:p w14:paraId="7730E257" w14:textId="7EC38E35" w:rsidR="009740D4" w:rsidRPr="00FE1CFE" w:rsidRDefault="009740D4">
      <w:pPr>
        <w:pStyle w:val="FootnoteText"/>
      </w:pPr>
      <w:r w:rsidRPr="00FE1CFE">
        <w:rPr>
          <w:rStyle w:val="FootnoteReference"/>
        </w:rPr>
        <w:footnoteRef/>
      </w:r>
      <w:r w:rsidRPr="00FE1CFE">
        <w:t xml:space="preserve"> </w:t>
      </w:r>
      <w:r w:rsidR="002824A3" w:rsidRPr="00FE1CFE">
        <w:t xml:space="preserve">UNSC 2019 (n </w:t>
      </w:r>
      <w:r w:rsidR="00E0028D">
        <w:t>40</w:t>
      </w:r>
      <w:r w:rsidR="002824A3" w:rsidRPr="00FE1CFE">
        <w:t>).</w:t>
      </w:r>
    </w:p>
  </w:footnote>
  <w:footnote w:id="85">
    <w:p w14:paraId="53DFE49A" w14:textId="66A9C7A2" w:rsidR="0011027D" w:rsidRPr="00FE1CFE" w:rsidRDefault="0011027D">
      <w:pPr>
        <w:pStyle w:val="FootnoteText"/>
      </w:pPr>
      <w:r w:rsidRPr="00FE1CFE">
        <w:rPr>
          <w:rStyle w:val="FootnoteReference"/>
        </w:rPr>
        <w:footnoteRef/>
      </w:r>
      <w:r w:rsidRPr="00FE1CFE">
        <w:t xml:space="preserve"> See for </w:t>
      </w:r>
      <w:proofErr w:type="gramStart"/>
      <w:r w:rsidRPr="00FE1CFE">
        <w:t>e.g.</w:t>
      </w:r>
      <w:proofErr w:type="gramEnd"/>
      <w:r w:rsidRPr="00FE1CFE">
        <w:t xml:space="preserve"> UNSC</w:t>
      </w:r>
      <w:r w:rsidR="002824A3" w:rsidRPr="00FE1CFE">
        <w:t xml:space="preserve"> 2013 (n 6</w:t>
      </w:r>
      <w:r w:rsidR="00E0028D">
        <w:t>7</w:t>
      </w:r>
      <w:r w:rsidR="002824A3" w:rsidRPr="00FE1CFE">
        <w:t>).</w:t>
      </w:r>
    </w:p>
  </w:footnote>
  <w:footnote w:id="86">
    <w:p w14:paraId="3133E145" w14:textId="4E795119" w:rsidR="0011027D" w:rsidRPr="00FE1CFE" w:rsidRDefault="0011027D">
      <w:pPr>
        <w:pStyle w:val="FootnoteText"/>
      </w:pPr>
      <w:r w:rsidRPr="00FE1CFE">
        <w:rPr>
          <w:rStyle w:val="FootnoteReference"/>
        </w:rPr>
        <w:footnoteRef/>
      </w:r>
      <w:r w:rsidRPr="00FE1CFE">
        <w:t xml:space="preserve"> UNSC 2000</w:t>
      </w:r>
      <w:r w:rsidR="002824A3" w:rsidRPr="00FE1CFE">
        <w:t xml:space="preserve"> (n </w:t>
      </w:r>
      <w:r w:rsidR="00FE1CFE" w:rsidRPr="00FE1CFE">
        <w:t>3</w:t>
      </w:r>
      <w:r w:rsidR="00E0028D">
        <w:t>4</w:t>
      </w:r>
      <w:r w:rsidR="00FE1CFE" w:rsidRPr="00FE1CFE">
        <w:t>)</w:t>
      </w:r>
      <w:r w:rsidRPr="00FE1CFE">
        <w:t>, PP; UNSC 2008</w:t>
      </w:r>
      <w:r w:rsidR="00FE1CFE" w:rsidRPr="00FE1CFE">
        <w:t xml:space="preserve"> (n 3</w:t>
      </w:r>
      <w:r w:rsidR="00E0028D">
        <w:t>4</w:t>
      </w:r>
      <w:r w:rsidR="00FE1CFE" w:rsidRPr="00FE1CFE">
        <w:t>)</w:t>
      </w:r>
      <w:r w:rsidRPr="00FE1CFE">
        <w:t xml:space="preserve"> PP</w:t>
      </w:r>
      <w:r w:rsidR="00FE1CFE" w:rsidRPr="00FE1CFE">
        <w:t>.</w:t>
      </w:r>
    </w:p>
  </w:footnote>
  <w:footnote w:id="87">
    <w:p w14:paraId="7940DD2D" w14:textId="7FD67D80" w:rsidR="0011027D" w:rsidRPr="00FE1CFE" w:rsidRDefault="0011027D" w:rsidP="00FE1CFE">
      <w:pPr>
        <w:rPr>
          <w:sz w:val="20"/>
          <w:szCs w:val="20"/>
        </w:rPr>
      </w:pPr>
      <w:r w:rsidRPr="00FE1CFE">
        <w:rPr>
          <w:rStyle w:val="FootnoteReference"/>
        </w:rPr>
        <w:footnoteRef/>
      </w:r>
      <w:r w:rsidRPr="00FE1CFE">
        <w:t xml:space="preserve"> </w:t>
      </w:r>
      <w:r w:rsidR="00FE1CFE" w:rsidRPr="00FE1CFE">
        <w:rPr>
          <w:sz w:val="20"/>
          <w:szCs w:val="20"/>
        </w:rPr>
        <w:t xml:space="preserve">UNSC Res 1888 (2009) UN Doc. S/RES 1888/2009 </w:t>
      </w:r>
      <w:r w:rsidRPr="00620DA3">
        <w:rPr>
          <w:sz w:val="20"/>
          <w:szCs w:val="20"/>
        </w:rPr>
        <w:t>PP</w:t>
      </w:r>
      <w:r w:rsidR="00FE1CFE" w:rsidRPr="00620DA3">
        <w:rPr>
          <w:sz w:val="20"/>
          <w:szCs w:val="20"/>
        </w:rPr>
        <w:t>.</w:t>
      </w:r>
    </w:p>
  </w:footnote>
  <w:footnote w:id="88">
    <w:p w14:paraId="4E8121F3" w14:textId="0D136B02" w:rsidR="00E64B67" w:rsidRPr="00620DA3" w:rsidRDefault="00E64B67" w:rsidP="00E64B67">
      <w:pPr>
        <w:pStyle w:val="FootnoteText"/>
      </w:pPr>
      <w:r w:rsidRPr="00620DA3">
        <w:rPr>
          <w:rStyle w:val="FootnoteReference"/>
        </w:rPr>
        <w:footnoteRef/>
      </w:r>
      <w:r w:rsidRPr="00620DA3">
        <w:t xml:space="preserve"> Laura J. Shepherd, ‘Sex, Security and Superhero(in)es: From 1325 to 1820 and Beyond</w:t>
      </w:r>
      <w:r w:rsidR="002F6CE9" w:rsidRPr="00620DA3">
        <w:t>’</w:t>
      </w:r>
      <w:r w:rsidRPr="00620DA3">
        <w:t xml:space="preserve"> (2011)13 International Feminist Journal of Politics 504</w:t>
      </w:r>
      <w:r w:rsidR="002F6CE9" w:rsidRPr="00620DA3">
        <w:t>,</w:t>
      </w:r>
      <w:r w:rsidRPr="00620DA3">
        <w:t xml:space="preserve"> 510</w:t>
      </w:r>
      <w:r w:rsidR="002F6CE9" w:rsidRPr="00620DA3">
        <w:t>.</w:t>
      </w:r>
    </w:p>
  </w:footnote>
  <w:footnote w:id="89">
    <w:p w14:paraId="672A9920" w14:textId="42575F83" w:rsidR="00D524BC" w:rsidRPr="00FE1CFE" w:rsidRDefault="00D524BC" w:rsidP="00D524BC">
      <w:pPr>
        <w:pStyle w:val="FootnoteText"/>
      </w:pPr>
      <w:r w:rsidRPr="00FE1CFE">
        <w:rPr>
          <w:rStyle w:val="FootnoteReference"/>
        </w:rPr>
        <w:footnoteRef/>
      </w:r>
      <w:r w:rsidRPr="00FE1CFE">
        <w:t xml:space="preserve"> Drawing from Nicola Henry, ‘The Fixation on Wartime Rape: Feminist Critique and International</w:t>
      </w:r>
      <w:r w:rsidRPr="00FE1CFE">
        <w:br/>
        <w:t>Criminal Law’ (2014) 23, 1 Social &amp; Legal Studies 93</w:t>
      </w:r>
      <w:r w:rsidR="002F6CE9" w:rsidRPr="00FE1CFE">
        <w:t>.</w:t>
      </w:r>
    </w:p>
  </w:footnote>
  <w:footnote w:id="90">
    <w:p w14:paraId="10D2AECA" w14:textId="66FB0178" w:rsidR="0011027D" w:rsidRPr="00FE1CFE" w:rsidRDefault="0011027D">
      <w:pPr>
        <w:pStyle w:val="FootnoteText"/>
      </w:pPr>
      <w:r w:rsidRPr="00FE1CFE">
        <w:rPr>
          <w:rStyle w:val="FootnoteReference"/>
        </w:rPr>
        <w:footnoteRef/>
      </w:r>
      <w:r w:rsidRPr="00FE1CFE">
        <w:t xml:space="preserve"> UNSC 2008</w:t>
      </w:r>
      <w:r w:rsidR="00FE1CFE" w:rsidRPr="00FE1CFE">
        <w:t xml:space="preserve"> (n 3</w:t>
      </w:r>
      <w:r w:rsidR="00CB24C1">
        <w:t>4</w:t>
      </w:r>
      <w:r w:rsidR="00FE1CFE" w:rsidRPr="00FE1CFE">
        <w:t>)</w:t>
      </w:r>
      <w:r w:rsidRPr="00FE1CFE">
        <w:t xml:space="preserve"> OP 8</w:t>
      </w:r>
      <w:r w:rsidR="00FE1CFE" w:rsidRPr="00FE1CFE">
        <w:t>.</w:t>
      </w:r>
    </w:p>
  </w:footnote>
  <w:footnote w:id="91">
    <w:p w14:paraId="1D25B199" w14:textId="60AE506A" w:rsidR="0011027D" w:rsidRPr="00FE1CFE" w:rsidRDefault="0011027D">
      <w:pPr>
        <w:pStyle w:val="FootnoteText"/>
      </w:pPr>
      <w:r w:rsidRPr="00FE1CFE">
        <w:rPr>
          <w:rStyle w:val="FootnoteReference"/>
        </w:rPr>
        <w:footnoteRef/>
      </w:r>
      <w:r w:rsidRPr="00FE1CFE">
        <w:t xml:space="preserve"> UNSC 2013</w:t>
      </w:r>
      <w:r w:rsidR="00FE1CFE" w:rsidRPr="00FE1CFE">
        <w:t xml:space="preserve"> (n </w:t>
      </w:r>
      <w:r w:rsidR="00CB24C1">
        <w:t>80</w:t>
      </w:r>
      <w:r w:rsidR="00FE1CFE" w:rsidRPr="00FE1CFE">
        <w:t>)</w:t>
      </w:r>
      <w:r w:rsidRPr="00FE1CFE">
        <w:t xml:space="preserve"> OP 1</w:t>
      </w:r>
      <w:r w:rsidR="00FE1CFE" w:rsidRPr="00FE1CFE">
        <w:t>.</w:t>
      </w:r>
    </w:p>
  </w:footnote>
  <w:footnote w:id="92">
    <w:p w14:paraId="23CAD678" w14:textId="7BEB0078" w:rsidR="0011027D" w:rsidRPr="00620DA3" w:rsidRDefault="0011027D" w:rsidP="00FE1CFE">
      <w:pPr>
        <w:rPr>
          <w:sz w:val="20"/>
          <w:szCs w:val="20"/>
        </w:rPr>
      </w:pPr>
      <w:r w:rsidRPr="00FE1CFE">
        <w:rPr>
          <w:rStyle w:val="FootnoteReference"/>
        </w:rPr>
        <w:footnoteRef/>
      </w:r>
      <w:r w:rsidRPr="00FE1CFE">
        <w:t xml:space="preserve"> </w:t>
      </w:r>
      <w:r w:rsidR="00FE1CFE" w:rsidRPr="00FE1CFE">
        <w:rPr>
          <w:sz w:val="20"/>
          <w:szCs w:val="20"/>
        </w:rPr>
        <w:t xml:space="preserve">UNSC Res 1960 (2010) UN Doc. S/RES 1960/2010 </w:t>
      </w:r>
      <w:r w:rsidRPr="00620DA3">
        <w:rPr>
          <w:sz w:val="20"/>
          <w:szCs w:val="20"/>
        </w:rPr>
        <w:t>PP</w:t>
      </w:r>
      <w:r w:rsidR="00FE1CFE" w:rsidRPr="00620DA3">
        <w:rPr>
          <w:sz w:val="20"/>
          <w:szCs w:val="20"/>
        </w:rPr>
        <w:t>.</w:t>
      </w:r>
    </w:p>
  </w:footnote>
  <w:footnote w:id="93">
    <w:p w14:paraId="793AA316" w14:textId="70196AB8" w:rsidR="0011027D" w:rsidRPr="00FE1CFE" w:rsidRDefault="0011027D">
      <w:pPr>
        <w:pStyle w:val="FootnoteText"/>
      </w:pPr>
      <w:r w:rsidRPr="00FE1CFE">
        <w:rPr>
          <w:rStyle w:val="FootnoteReference"/>
        </w:rPr>
        <w:footnoteRef/>
      </w:r>
      <w:r w:rsidRPr="00FE1CFE">
        <w:t xml:space="preserve"> UNSC 2013</w:t>
      </w:r>
      <w:r w:rsidR="00FE1CFE" w:rsidRPr="00FE1CFE">
        <w:t xml:space="preserve"> (n </w:t>
      </w:r>
      <w:r w:rsidR="00CB24C1">
        <w:t>40</w:t>
      </w:r>
      <w:r w:rsidR="00FE1CFE" w:rsidRPr="00FE1CFE">
        <w:t>)</w:t>
      </w:r>
      <w:r w:rsidRPr="00FE1CFE">
        <w:t xml:space="preserve"> OP 11</w:t>
      </w:r>
      <w:r w:rsidR="00FE1CFE" w:rsidRPr="00FE1CFE">
        <w:t>.</w:t>
      </w:r>
    </w:p>
  </w:footnote>
  <w:footnote w:id="94">
    <w:p w14:paraId="7F3A6C41" w14:textId="43D833C0" w:rsidR="00555EB5" w:rsidRPr="00FE1CFE" w:rsidRDefault="00555EB5" w:rsidP="00555EB5">
      <w:pPr>
        <w:pStyle w:val="FootnoteText"/>
      </w:pPr>
      <w:r w:rsidRPr="00FE1CFE">
        <w:rPr>
          <w:rStyle w:val="FootnoteReference"/>
        </w:rPr>
        <w:footnoteRef/>
      </w:r>
      <w:r w:rsidRPr="00FE1CFE">
        <w:t xml:space="preserve"> </w:t>
      </w:r>
      <w:r w:rsidR="00127F73" w:rsidRPr="00FE1CFE">
        <w:t>Sabrina Karim</w:t>
      </w:r>
      <w:r w:rsidR="002F6CE9" w:rsidRPr="00FE1CFE">
        <w:t xml:space="preserve"> and </w:t>
      </w:r>
      <w:r w:rsidR="00127F73" w:rsidRPr="00FE1CFE">
        <w:t>Kyle Beardsley, ‘Female Peacekeepers and Gender Balancing: Token Gestures or Informed Policymaking?’ (2013) 39 International Interactions, 46</w:t>
      </w:r>
      <w:r w:rsidR="002F6CE9" w:rsidRPr="00FE1CFE">
        <w:t>1</w:t>
      </w:r>
      <w:r w:rsidR="00BC69D7" w:rsidRPr="00FE1CFE">
        <w:t xml:space="preserve">; </w:t>
      </w:r>
      <w:r w:rsidRPr="00FE1CFE">
        <w:t xml:space="preserve">Olivera </w:t>
      </w:r>
      <w:proofErr w:type="spellStart"/>
      <w:r w:rsidRPr="00FE1CFE">
        <w:t>Simić</w:t>
      </w:r>
      <w:proofErr w:type="spellEnd"/>
      <w:r w:rsidRPr="00FE1CFE">
        <w:t>, ‘Does the Presence of Women Really Matter? Towards Combating Male Sexual Violence in Peacekeeping Operations,’ (2010) 17</w:t>
      </w:r>
      <w:r w:rsidR="002F6CE9" w:rsidRPr="00FE1CFE">
        <w:t xml:space="preserve"> </w:t>
      </w:r>
      <w:r w:rsidRPr="00FE1CFE">
        <w:t>International Peacekeeping, 188</w:t>
      </w:r>
      <w:r w:rsidR="002F6CE9" w:rsidRPr="00FE1CFE">
        <w:t>.</w:t>
      </w:r>
    </w:p>
  </w:footnote>
  <w:footnote w:id="95">
    <w:p w14:paraId="2DD8E0B3" w14:textId="2DE35C03" w:rsidR="0011027D" w:rsidRPr="00FE1CFE" w:rsidRDefault="0011027D" w:rsidP="00BC69D7">
      <w:pPr>
        <w:pStyle w:val="FootnoteText"/>
      </w:pPr>
      <w:r w:rsidRPr="00FE1CFE">
        <w:rPr>
          <w:rStyle w:val="FootnoteReference"/>
        </w:rPr>
        <w:footnoteRef/>
      </w:r>
      <w:r w:rsidRPr="00FE1CFE">
        <w:t xml:space="preserve"> </w:t>
      </w:r>
      <w:r w:rsidR="00BC69D7" w:rsidRPr="00FE1CFE">
        <w:t>Kylie Alexandra, ‘Peacekeepers’ Privilege and Sexual Abuse in Post-Conflict Populations (2011) 23</w:t>
      </w:r>
      <w:r w:rsidR="002F6CE9" w:rsidRPr="00FE1CFE">
        <w:t xml:space="preserve"> </w:t>
      </w:r>
      <w:r w:rsidR="00BC69D7" w:rsidRPr="00FE1CFE">
        <w:t>Peace Review 369</w:t>
      </w:r>
      <w:r w:rsidR="002F6CE9" w:rsidRPr="00FE1CFE">
        <w:t>.</w:t>
      </w:r>
    </w:p>
  </w:footnote>
  <w:footnote w:id="96">
    <w:p w14:paraId="7AC1D79A" w14:textId="1574197B" w:rsidR="0011027D" w:rsidRPr="00FE1CFE" w:rsidRDefault="0011027D">
      <w:pPr>
        <w:pStyle w:val="FootnoteText"/>
      </w:pPr>
      <w:r w:rsidRPr="00FE1CFE">
        <w:rPr>
          <w:rStyle w:val="FootnoteReference"/>
        </w:rPr>
        <w:footnoteRef/>
      </w:r>
      <w:r w:rsidRPr="00FE1CFE">
        <w:t xml:space="preserve"> Turner and Swaine </w:t>
      </w:r>
      <w:r w:rsidR="002F6CE9" w:rsidRPr="00FE1CFE">
        <w:t xml:space="preserve">(n </w:t>
      </w:r>
      <w:r w:rsidR="00F267CB" w:rsidRPr="00FE1CFE">
        <w:t>3</w:t>
      </w:r>
      <w:r w:rsidR="002F6CE9" w:rsidRPr="00FE1CFE">
        <w:t>).</w:t>
      </w:r>
    </w:p>
  </w:footnote>
  <w:footnote w:id="97">
    <w:p w14:paraId="54EA4F86" w14:textId="63530BEA" w:rsidR="0011027D" w:rsidRPr="00620DA3" w:rsidRDefault="0011027D" w:rsidP="00E86D64">
      <w:pPr>
        <w:jc w:val="both"/>
        <w:rPr>
          <w:sz w:val="20"/>
          <w:szCs w:val="20"/>
        </w:rPr>
      </w:pPr>
      <w:r w:rsidRPr="00620DA3">
        <w:rPr>
          <w:rStyle w:val="FootnoteReference"/>
          <w:sz w:val="20"/>
          <w:szCs w:val="20"/>
        </w:rPr>
        <w:footnoteRef/>
      </w:r>
      <w:r w:rsidRPr="00620DA3">
        <w:rPr>
          <w:sz w:val="20"/>
          <w:szCs w:val="20"/>
        </w:rPr>
        <w:t xml:space="preserve"> Brianna Nicole Hernandez ‘Sexual Abuse in UN Peacekeeping: The Problem of Viewing Women as a ‘Quick Fix’’ (</w:t>
      </w:r>
      <w:r w:rsidRPr="00620DA3">
        <w:rPr>
          <w:i/>
          <w:iCs/>
          <w:sz w:val="20"/>
          <w:szCs w:val="20"/>
        </w:rPr>
        <w:t xml:space="preserve">E-International Relations, </w:t>
      </w:r>
      <w:r w:rsidRPr="00620DA3">
        <w:rPr>
          <w:sz w:val="20"/>
          <w:szCs w:val="20"/>
        </w:rPr>
        <w:t>20 February, 2020).</w:t>
      </w:r>
      <w:r w:rsidRPr="00620DA3">
        <w:rPr>
          <w:i/>
          <w:iCs/>
          <w:sz w:val="20"/>
          <w:szCs w:val="20"/>
        </w:rPr>
        <w:t xml:space="preserve"> </w:t>
      </w:r>
    </w:p>
  </w:footnote>
  <w:footnote w:id="98">
    <w:p w14:paraId="2AEA08D1" w14:textId="39F099C3" w:rsidR="00F3087D" w:rsidRPr="00620DA3" w:rsidRDefault="00F3087D" w:rsidP="00F3087D">
      <w:pPr>
        <w:jc w:val="both"/>
        <w:rPr>
          <w:sz w:val="20"/>
          <w:szCs w:val="20"/>
        </w:rPr>
      </w:pPr>
      <w:r w:rsidRPr="00620DA3">
        <w:rPr>
          <w:rStyle w:val="FootnoteReference"/>
          <w:sz w:val="20"/>
          <w:szCs w:val="20"/>
        </w:rPr>
        <w:footnoteRef/>
      </w:r>
      <w:r w:rsidRPr="00620DA3">
        <w:rPr>
          <w:sz w:val="20"/>
          <w:szCs w:val="20"/>
        </w:rPr>
        <w:t xml:space="preserve"> </w:t>
      </w:r>
      <w:proofErr w:type="spellStart"/>
      <w:r w:rsidRPr="00620DA3">
        <w:rPr>
          <w:sz w:val="20"/>
          <w:szCs w:val="20"/>
        </w:rPr>
        <w:t>Adibeli</w:t>
      </w:r>
      <w:proofErr w:type="spellEnd"/>
      <w:r w:rsidRPr="00620DA3">
        <w:rPr>
          <w:sz w:val="20"/>
          <w:szCs w:val="20"/>
        </w:rPr>
        <w:t xml:space="preserve"> Nduka-</w:t>
      </w:r>
      <w:proofErr w:type="spellStart"/>
      <w:r w:rsidRPr="00620DA3">
        <w:rPr>
          <w:sz w:val="20"/>
          <w:szCs w:val="20"/>
        </w:rPr>
        <w:t>Agwu</w:t>
      </w:r>
      <w:proofErr w:type="spellEnd"/>
      <w:r w:rsidRPr="00620DA3">
        <w:rPr>
          <w:sz w:val="20"/>
          <w:szCs w:val="20"/>
        </w:rPr>
        <w:t>, ‘Doing Gender’ After the War: Dealing with Gender Mainstreaming and Sexual Exploitation and Abuse in UN Peace Support Operations in Liberia and Sierra Leone (2009) 11</w:t>
      </w:r>
      <w:r w:rsidR="002F6CE9" w:rsidRPr="00620DA3">
        <w:rPr>
          <w:sz w:val="20"/>
          <w:szCs w:val="20"/>
        </w:rPr>
        <w:t xml:space="preserve"> </w:t>
      </w:r>
      <w:r w:rsidRPr="00620DA3">
        <w:rPr>
          <w:sz w:val="20"/>
          <w:szCs w:val="20"/>
        </w:rPr>
        <w:t xml:space="preserve">Civil Wars 179. </w:t>
      </w:r>
    </w:p>
  </w:footnote>
  <w:footnote w:id="99">
    <w:p w14:paraId="0C7C7937" w14:textId="7B66F3EB" w:rsidR="0011027D" w:rsidRPr="00FE1CFE" w:rsidRDefault="0011027D">
      <w:pPr>
        <w:pStyle w:val="FootnoteText"/>
      </w:pPr>
      <w:r w:rsidRPr="00FE1CFE">
        <w:rPr>
          <w:rStyle w:val="FootnoteReference"/>
        </w:rPr>
        <w:footnoteRef/>
      </w:r>
      <w:r w:rsidRPr="00FE1CFE">
        <w:t xml:space="preserve"> </w:t>
      </w:r>
      <w:proofErr w:type="spellStart"/>
      <w:r w:rsidRPr="00FE1CFE">
        <w:t>Chinkin</w:t>
      </w:r>
      <w:proofErr w:type="spellEnd"/>
      <w:r w:rsidRPr="00FE1CFE">
        <w:t xml:space="preserve"> </w:t>
      </w:r>
      <w:r w:rsidR="002F6CE9" w:rsidRPr="00FE1CFE">
        <w:t>(n1</w:t>
      </w:r>
      <w:r w:rsidR="00FD4A0E" w:rsidRPr="00FE1CFE">
        <w:t>5</w:t>
      </w:r>
      <w:r w:rsidR="002F6CE9" w:rsidRPr="00FE1CFE">
        <w:t>) 56.</w:t>
      </w:r>
    </w:p>
  </w:footnote>
  <w:footnote w:id="100">
    <w:p w14:paraId="1E8E1C1B" w14:textId="59D77612" w:rsidR="0011027D" w:rsidRPr="00FE1CFE" w:rsidRDefault="0011027D">
      <w:pPr>
        <w:pStyle w:val="FootnoteText"/>
      </w:pPr>
      <w:r w:rsidRPr="00FE1CFE">
        <w:rPr>
          <w:rStyle w:val="FootnoteReference"/>
        </w:rPr>
        <w:footnoteRef/>
      </w:r>
      <w:r w:rsidRPr="00FE1CFE">
        <w:t xml:space="preserve"> UNSC 2009</w:t>
      </w:r>
      <w:r w:rsidR="00FE1CFE" w:rsidRPr="00FE1CFE">
        <w:t xml:space="preserve"> (n 8</w:t>
      </w:r>
      <w:r w:rsidR="00CB24C1">
        <w:t>7</w:t>
      </w:r>
      <w:r w:rsidR="00FE1CFE" w:rsidRPr="00FE1CFE">
        <w:t>)</w:t>
      </w:r>
      <w:r w:rsidRPr="00FE1CFE">
        <w:t xml:space="preserve"> OP 18</w:t>
      </w:r>
      <w:r w:rsidR="00FE1CFE" w:rsidRPr="00FE1CFE">
        <w:t>.</w:t>
      </w:r>
    </w:p>
  </w:footnote>
  <w:footnote w:id="101">
    <w:p w14:paraId="549488DB" w14:textId="66EC64B9" w:rsidR="0011027D" w:rsidRPr="00FE1CFE" w:rsidRDefault="0011027D">
      <w:pPr>
        <w:pStyle w:val="FootnoteText"/>
      </w:pPr>
      <w:r w:rsidRPr="00FE1CFE">
        <w:rPr>
          <w:rStyle w:val="FootnoteReference"/>
        </w:rPr>
        <w:footnoteRef/>
      </w:r>
      <w:r w:rsidRPr="00FE1CFE">
        <w:t xml:space="preserve"> UNSC 2013</w:t>
      </w:r>
      <w:r w:rsidR="00FE1CFE" w:rsidRPr="00FE1CFE">
        <w:t xml:space="preserve"> (n 6</w:t>
      </w:r>
      <w:r w:rsidR="00CB24C1">
        <w:t>7</w:t>
      </w:r>
      <w:r w:rsidR="00FE1CFE" w:rsidRPr="00FE1CFE">
        <w:t>)</w:t>
      </w:r>
      <w:r w:rsidRPr="00FE1CFE">
        <w:t xml:space="preserve"> OP 4</w:t>
      </w:r>
      <w:r w:rsidR="00FE1CFE" w:rsidRPr="00FE1CFE">
        <w:t>.</w:t>
      </w:r>
    </w:p>
  </w:footnote>
  <w:footnote w:id="102">
    <w:p w14:paraId="6730367C" w14:textId="7539AD69" w:rsidR="0011027D" w:rsidRPr="00FE1CFE" w:rsidRDefault="0011027D">
      <w:pPr>
        <w:pStyle w:val="FootnoteText"/>
      </w:pPr>
      <w:r w:rsidRPr="00FE1CFE">
        <w:rPr>
          <w:rStyle w:val="FootnoteReference"/>
        </w:rPr>
        <w:footnoteRef/>
      </w:r>
      <w:r w:rsidRPr="00FE1CFE">
        <w:t xml:space="preserve"> </w:t>
      </w:r>
      <w:r w:rsidR="00FE1CFE" w:rsidRPr="00FE1CFE">
        <w:t>UNSC 2013 (n 6</w:t>
      </w:r>
      <w:r w:rsidR="00CB24C1">
        <w:t>7</w:t>
      </w:r>
      <w:r w:rsidR="00FE1CFE" w:rsidRPr="00FE1CFE">
        <w:t xml:space="preserve">) </w:t>
      </w:r>
      <w:r w:rsidRPr="00FE1CFE">
        <w:t>PP</w:t>
      </w:r>
      <w:r w:rsidR="00FE1CFE" w:rsidRPr="00FE1CFE">
        <w:t>.</w:t>
      </w:r>
    </w:p>
  </w:footnote>
  <w:footnote w:id="103">
    <w:p w14:paraId="53CD8796" w14:textId="1B19FAC4" w:rsidR="0011027D" w:rsidRPr="00FE1CFE" w:rsidRDefault="0011027D">
      <w:pPr>
        <w:pStyle w:val="FootnoteText"/>
      </w:pPr>
      <w:r w:rsidRPr="00FE1CFE">
        <w:rPr>
          <w:rStyle w:val="FootnoteReference"/>
        </w:rPr>
        <w:footnoteRef/>
      </w:r>
      <w:r w:rsidRPr="00FE1CFE">
        <w:t xml:space="preserve"> UNSC 2019</w:t>
      </w:r>
      <w:r w:rsidR="00FE1CFE" w:rsidRPr="00FE1CFE">
        <w:t xml:space="preserve"> (n </w:t>
      </w:r>
      <w:r w:rsidR="00CB24C1">
        <w:t>41</w:t>
      </w:r>
      <w:r w:rsidR="00FE1CFE" w:rsidRPr="00FE1CFE">
        <w:t>)</w:t>
      </w:r>
      <w:r w:rsidRPr="00FE1CFE">
        <w:t xml:space="preserve"> OP 10b</w:t>
      </w:r>
      <w:r w:rsidR="00FE1CFE" w:rsidRPr="00FE1CFE">
        <w:t>.</w:t>
      </w:r>
    </w:p>
  </w:footnote>
  <w:footnote w:id="104">
    <w:p w14:paraId="54B9BA13" w14:textId="372EC98D" w:rsidR="0011027D" w:rsidRPr="00FE1CFE" w:rsidRDefault="0011027D">
      <w:pPr>
        <w:pStyle w:val="FootnoteText"/>
      </w:pPr>
      <w:r w:rsidRPr="00FE1CFE">
        <w:rPr>
          <w:rStyle w:val="FootnoteReference"/>
        </w:rPr>
        <w:footnoteRef/>
      </w:r>
      <w:r w:rsidRPr="00FE1CFE">
        <w:t xml:space="preserve"> UNSC 2008</w:t>
      </w:r>
      <w:r w:rsidR="00FE1CFE" w:rsidRPr="00FE1CFE">
        <w:t xml:space="preserve"> (n 3</w:t>
      </w:r>
      <w:r w:rsidR="00CB24C1">
        <w:t>3</w:t>
      </w:r>
      <w:r w:rsidR="00FE1CFE" w:rsidRPr="00FE1CFE">
        <w:t>)</w:t>
      </w:r>
      <w:r w:rsidRPr="00FE1CFE">
        <w:t xml:space="preserve"> PP</w:t>
      </w:r>
      <w:r w:rsidR="00FE1CFE" w:rsidRPr="00FE1CFE">
        <w:t>.</w:t>
      </w:r>
    </w:p>
  </w:footnote>
  <w:footnote w:id="105">
    <w:p w14:paraId="72466F78" w14:textId="54E74D36" w:rsidR="0011027D" w:rsidRPr="00FE1CFE" w:rsidRDefault="0011027D">
      <w:pPr>
        <w:pStyle w:val="FootnoteText"/>
      </w:pPr>
      <w:r w:rsidRPr="00FE1CFE">
        <w:rPr>
          <w:rStyle w:val="FootnoteReference"/>
        </w:rPr>
        <w:footnoteRef/>
      </w:r>
      <w:r w:rsidRPr="00FE1CFE">
        <w:t xml:space="preserve"> UNSC 2013</w:t>
      </w:r>
      <w:r w:rsidR="00FE1CFE" w:rsidRPr="00FE1CFE">
        <w:t xml:space="preserve"> (n 6</w:t>
      </w:r>
      <w:r w:rsidR="00CB24C1">
        <w:t>7</w:t>
      </w:r>
      <w:r w:rsidR="00FE1CFE" w:rsidRPr="00FE1CFE">
        <w:t>)</w:t>
      </w:r>
      <w:r w:rsidRPr="00FE1CFE">
        <w:t xml:space="preserve"> OP 8</w:t>
      </w:r>
      <w:r w:rsidR="00FE1CFE" w:rsidRPr="00FE1CFE">
        <w:t>.</w:t>
      </w:r>
    </w:p>
  </w:footnote>
  <w:footnote w:id="106">
    <w:p w14:paraId="61F39A63" w14:textId="01720E0D" w:rsidR="0011027D" w:rsidRPr="00FE1CFE" w:rsidRDefault="0011027D">
      <w:pPr>
        <w:pStyle w:val="FootnoteText"/>
      </w:pPr>
      <w:r w:rsidRPr="00FE1CFE">
        <w:rPr>
          <w:rStyle w:val="FootnoteReference"/>
        </w:rPr>
        <w:footnoteRef/>
      </w:r>
      <w:r w:rsidRPr="00FE1CFE">
        <w:t xml:space="preserve"> UNSC </w:t>
      </w:r>
      <w:r w:rsidR="00127511">
        <w:t>2019 (n 40)</w:t>
      </w:r>
      <w:r w:rsidRPr="00FE1CFE">
        <w:t>, PP</w:t>
      </w:r>
      <w:r w:rsidR="00620DA3">
        <w:t>.</w:t>
      </w:r>
    </w:p>
  </w:footnote>
  <w:footnote w:id="107">
    <w:p w14:paraId="27AB3238" w14:textId="1E9D4342" w:rsidR="0011027D" w:rsidRPr="00FE1CFE" w:rsidRDefault="0011027D">
      <w:pPr>
        <w:pStyle w:val="FootnoteText"/>
      </w:pPr>
      <w:r w:rsidRPr="00FE1CFE">
        <w:rPr>
          <w:rStyle w:val="FootnoteReference"/>
        </w:rPr>
        <w:footnoteRef/>
      </w:r>
      <w:r w:rsidRPr="00FE1CFE">
        <w:t xml:space="preserve"> Wood </w:t>
      </w:r>
      <w:r w:rsidR="002F6CE9" w:rsidRPr="00FE1CFE">
        <w:t xml:space="preserve">(n </w:t>
      </w:r>
      <w:r w:rsidR="00FD4A0E" w:rsidRPr="00FE1CFE">
        <w:t>6</w:t>
      </w:r>
      <w:r w:rsidR="001D4066">
        <w:t>3</w:t>
      </w:r>
      <w:r w:rsidR="002F6CE9" w:rsidRPr="00FE1CFE">
        <w:t>)</w:t>
      </w:r>
      <w:r w:rsidRPr="00FE1CFE">
        <w:t xml:space="preserve"> 86</w:t>
      </w:r>
      <w:r w:rsidR="002F6CE9" w:rsidRPr="00FE1CFE">
        <w:t>.</w:t>
      </w:r>
    </w:p>
  </w:footnote>
  <w:footnote w:id="108">
    <w:p w14:paraId="42119E28" w14:textId="5B774519" w:rsidR="0011027D" w:rsidRPr="00FE1CFE" w:rsidRDefault="0011027D">
      <w:pPr>
        <w:pStyle w:val="FootnoteText"/>
      </w:pPr>
      <w:r w:rsidRPr="00FE1CFE">
        <w:rPr>
          <w:rStyle w:val="FootnoteReference"/>
        </w:rPr>
        <w:footnoteRef/>
      </w:r>
      <w:r w:rsidRPr="00FE1CFE">
        <w:t xml:space="preserve"> UNSC 2019 </w:t>
      </w:r>
      <w:r w:rsidR="00127511">
        <w:t xml:space="preserve">(n 40) </w:t>
      </w:r>
      <w:r w:rsidRPr="00FE1CFE">
        <w:t>PP</w:t>
      </w:r>
      <w:r w:rsidR="00620DA3">
        <w:t>.</w:t>
      </w:r>
    </w:p>
  </w:footnote>
  <w:footnote w:id="109">
    <w:p w14:paraId="37D70F5C" w14:textId="2894410A" w:rsidR="0011027D" w:rsidRPr="00FE1CFE" w:rsidRDefault="0011027D">
      <w:pPr>
        <w:pStyle w:val="FootnoteText"/>
      </w:pPr>
      <w:r w:rsidRPr="00FE1CFE">
        <w:rPr>
          <w:rStyle w:val="FootnoteReference"/>
        </w:rPr>
        <w:footnoteRef/>
      </w:r>
      <w:r w:rsidRPr="00FE1CFE">
        <w:t xml:space="preserve"> UNSC 2019</w:t>
      </w:r>
      <w:r w:rsidR="00FE1CFE" w:rsidRPr="00FE1CFE">
        <w:t xml:space="preserve"> (n </w:t>
      </w:r>
      <w:r w:rsidR="00127511">
        <w:t>40</w:t>
      </w:r>
      <w:r w:rsidR="00FE1CFE" w:rsidRPr="00FE1CFE">
        <w:t>)</w:t>
      </w:r>
      <w:r w:rsidRPr="00FE1CFE">
        <w:t xml:space="preserve"> OP21</w:t>
      </w:r>
      <w:r w:rsidR="00FE1CFE" w:rsidRPr="00FE1CFE">
        <w:t>.</w:t>
      </w:r>
    </w:p>
  </w:footnote>
  <w:footnote w:id="110">
    <w:p w14:paraId="2AD12818" w14:textId="1DE5FA43" w:rsidR="0011027D" w:rsidRPr="00FE1CFE" w:rsidRDefault="0011027D">
      <w:pPr>
        <w:pStyle w:val="FootnoteText"/>
      </w:pPr>
      <w:r w:rsidRPr="00FE1CFE">
        <w:rPr>
          <w:rStyle w:val="FootnoteReference"/>
        </w:rPr>
        <w:footnoteRef/>
      </w:r>
      <w:r w:rsidRPr="00FE1CFE">
        <w:t xml:space="preserve"> </w:t>
      </w:r>
      <w:r w:rsidR="00FE1CFE" w:rsidRPr="00FE1CFE">
        <w:t xml:space="preserve">UNSC 2019 (n </w:t>
      </w:r>
      <w:r w:rsidR="00127511">
        <w:t>40</w:t>
      </w:r>
      <w:r w:rsidR="00FE1CFE" w:rsidRPr="00FE1CFE">
        <w:t xml:space="preserve">) </w:t>
      </w:r>
      <w:r w:rsidRPr="00FE1CFE">
        <w:t>OP 23</w:t>
      </w:r>
      <w:r w:rsidR="00FE1CFE" w:rsidRPr="00FE1CFE">
        <w:t>.</w:t>
      </w:r>
    </w:p>
  </w:footnote>
  <w:footnote w:id="111">
    <w:p w14:paraId="0907AC8D" w14:textId="03FCA08C" w:rsidR="0011027D" w:rsidRDefault="0011027D">
      <w:pPr>
        <w:pStyle w:val="FootnoteText"/>
      </w:pPr>
      <w:r w:rsidRPr="00FE1CFE">
        <w:rPr>
          <w:rStyle w:val="FootnoteReference"/>
        </w:rPr>
        <w:footnoteRef/>
      </w:r>
      <w:r w:rsidRPr="00FE1CFE">
        <w:t xml:space="preserve"> UNSC 2019</w:t>
      </w:r>
      <w:r w:rsidR="00FE1CFE" w:rsidRPr="00FE1CFE">
        <w:t xml:space="preserve"> (n </w:t>
      </w:r>
      <w:r w:rsidR="00127511">
        <w:t>40</w:t>
      </w:r>
      <w:r w:rsidR="00FE1CFE" w:rsidRPr="00FE1CFE">
        <w:t>)</w:t>
      </w:r>
      <w:r w:rsidRPr="00FE1CFE">
        <w:t xml:space="preserve"> OP 6</w:t>
      </w:r>
      <w:r w:rsidR="00FE1CFE" w:rsidRPr="00FE1CFE">
        <w:t>.</w:t>
      </w:r>
    </w:p>
  </w:footnote>
  <w:footnote w:id="112">
    <w:p w14:paraId="5E77C826" w14:textId="344E30F6" w:rsidR="0011027D" w:rsidRPr="00E86D64" w:rsidRDefault="0011027D">
      <w:pPr>
        <w:pStyle w:val="FootnoteText"/>
      </w:pPr>
      <w:r w:rsidRPr="00E86D64">
        <w:rPr>
          <w:rStyle w:val="FootnoteReference"/>
        </w:rPr>
        <w:footnoteRef/>
      </w:r>
      <w:r w:rsidRPr="00E86D64">
        <w:t xml:space="preserve"> UNSC 2019</w:t>
      </w:r>
      <w:r w:rsidR="00127511">
        <w:t xml:space="preserve"> (n 40)</w:t>
      </w:r>
      <w:r w:rsidRPr="00E86D64">
        <w:t>, PP</w:t>
      </w:r>
      <w:r w:rsidR="009C3300">
        <w:t>.</w:t>
      </w:r>
    </w:p>
  </w:footnote>
  <w:footnote w:id="113">
    <w:p w14:paraId="2C9DF775" w14:textId="00D3EEDE" w:rsidR="0011027D" w:rsidRPr="00E86D64" w:rsidRDefault="0011027D" w:rsidP="00E86D64">
      <w:pPr>
        <w:pStyle w:val="NormalWeb"/>
        <w:jc w:val="both"/>
        <w:rPr>
          <w:sz w:val="20"/>
          <w:szCs w:val="20"/>
        </w:rPr>
      </w:pPr>
      <w:r w:rsidRPr="00E86D64">
        <w:rPr>
          <w:rStyle w:val="FootnoteReference"/>
          <w:sz w:val="20"/>
          <w:szCs w:val="20"/>
        </w:rPr>
        <w:footnoteRef/>
      </w:r>
      <w:r w:rsidRPr="00E86D64">
        <w:rPr>
          <w:sz w:val="20"/>
          <w:szCs w:val="20"/>
        </w:rPr>
        <w:t xml:space="preserve"> Drawing from: Kathryn Lockett, ‘The Mechanisms of Exclusion: Women in Conflict (2008) 16 </w:t>
      </w:r>
      <w:r w:rsidRPr="002F6CE9">
        <w:rPr>
          <w:sz w:val="20"/>
          <w:szCs w:val="20"/>
        </w:rPr>
        <w:t xml:space="preserve">Feminist Legal Studies </w:t>
      </w:r>
      <w:r w:rsidRPr="00E86D64">
        <w:rPr>
          <w:sz w:val="20"/>
          <w:szCs w:val="20"/>
        </w:rPr>
        <w:t xml:space="preserve">369; </w:t>
      </w:r>
      <w:proofErr w:type="spellStart"/>
      <w:r w:rsidRPr="00E86D64">
        <w:rPr>
          <w:sz w:val="20"/>
          <w:szCs w:val="20"/>
        </w:rPr>
        <w:t>Kapur</w:t>
      </w:r>
      <w:proofErr w:type="spellEnd"/>
      <w:r w:rsidRPr="00E86D64">
        <w:rPr>
          <w:sz w:val="20"/>
          <w:szCs w:val="20"/>
        </w:rPr>
        <w:t xml:space="preserve"> </w:t>
      </w:r>
      <w:r w:rsidR="002F6CE9">
        <w:rPr>
          <w:sz w:val="20"/>
          <w:szCs w:val="20"/>
        </w:rPr>
        <w:t>(</w:t>
      </w:r>
      <w:r w:rsidR="007A013D">
        <w:rPr>
          <w:sz w:val="20"/>
          <w:szCs w:val="20"/>
        </w:rPr>
        <w:t xml:space="preserve">n </w:t>
      </w:r>
      <w:r w:rsidR="002F6CE9">
        <w:rPr>
          <w:sz w:val="20"/>
          <w:szCs w:val="20"/>
        </w:rPr>
        <w:t>3</w:t>
      </w:r>
      <w:r w:rsidR="001D4066">
        <w:rPr>
          <w:sz w:val="20"/>
          <w:szCs w:val="20"/>
        </w:rPr>
        <w:t>9</w:t>
      </w:r>
      <w:r w:rsidR="002F6CE9">
        <w:rPr>
          <w:sz w:val="20"/>
          <w:szCs w:val="20"/>
        </w:rPr>
        <w:t>).</w:t>
      </w:r>
    </w:p>
  </w:footnote>
  <w:footnote w:id="114">
    <w:p w14:paraId="141DD140" w14:textId="7A0D11B0" w:rsidR="0011027D" w:rsidRDefault="0011027D">
      <w:pPr>
        <w:pStyle w:val="FootnoteText"/>
      </w:pPr>
      <w:r w:rsidRPr="00E86D64">
        <w:rPr>
          <w:rStyle w:val="FootnoteReference"/>
        </w:rPr>
        <w:footnoteRef/>
      </w:r>
      <w:r w:rsidRPr="00E86D64">
        <w:t xml:space="preserve"> </w:t>
      </w:r>
      <w:proofErr w:type="spellStart"/>
      <w:r w:rsidRPr="00E86D64">
        <w:t>Kapur</w:t>
      </w:r>
      <w:proofErr w:type="spellEnd"/>
      <w:r w:rsidRPr="00E86D64">
        <w:t xml:space="preserve"> </w:t>
      </w:r>
      <w:r w:rsidR="002F6CE9">
        <w:t>(n 3</w:t>
      </w:r>
      <w:r w:rsidR="001D4066">
        <w:t>9</w:t>
      </w:r>
      <w:r w:rsidR="002F6CE9">
        <w:t>)</w:t>
      </w:r>
      <w:r w:rsidRPr="00E86D64">
        <w:t xml:space="preserve"> 10</w:t>
      </w:r>
      <w:r w:rsidR="002F6CE9">
        <w:t>.</w:t>
      </w:r>
    </w:p>
  </w:footnote>
  <w:footnote w:id="115">
    <w:p w14:paraId="739989EB" w14:textId="635F1C56" w:rsidR="0011027D" w:rsidRDefault="0011027D" w:rsidP="009C3300">
      <w:pPr>
        <w:pStyle w:val="FootnoteText"/>
        <w:jc w:val="both"/>
      </w:pPr>
      <w:r>
        <w:rPr>
          <w:rStyle w:val="FootnoteReference"/>
        </w:rPr>
        <w:footnoteRef/>
      </w:r>
      <w:r>
        <w:t xml:space="preserve"> Aisling </w:t>
      </w:r>
      <w:r w:rsidRPr="00913441">
        <w:t>Swaine</w:t>
      </w:r>
      <w:r w:rsidR="009C3300">
        <w:t>,</w:t>
      </w:r>
      <w:r w:rsidRPr="00913441">
        <w:t xml:space="preserve"> </w:t>
      </w:r>
      <w:r w:rsidRPr="00B9258E">
        <w:rPr>
          <w:i/>
          <w:iCs/>
        </w:rPr>
        <w:t>Conflict-related Violence Against Women: Transforming Transition</w:t>
      </w:r>
      <w:r>
        <w:t xml:space="preserve"> (Cambridge University Press, </w:t>
      </w:r>
      <w:r w:rsidRPr="00913441">
        <w:t>2018</w:t>
      </w:r>
      <w:r>
        <w:t>)</w:t>
      </w:r>
      <w:r w:rsidRPr="00913441">
        <w:t xml:space="preserve">; </w:t>
      </w:r>
      <w:proofErr w:type="spellStart"/>
      <w:r w:rsidRPr="00E86D64">
        <w:t>Jelke</w:t>
      </w:r>
      <w:proofErr w:type="spellEnd"/>
      <w:r w:rsidRPr="00E86D64">
        <w:t xml:space="preserve"> </w:t>
      </w:r>
      <w:proofErr w:type="spellStart"/>
      <w:r w:rsidRPr="00E86D64">
        <w:t>Boesten</w:t>
      </w:r>
      <w:proofErr w:type="spellEnd"/>
      <w:r w:rsidRPr="00E86D64">
        <w:t>,</w:t>
      </w:r>
      <w:r>
        <w:t xml:space="preserve"> ‘</w:t>
      </w:r>
      <w:r w:rsidRPr="00E86D64">
        <w:t>Of exceptions and continuities: theory and methodology in research on conflict-related sexual violence</w:t>
      </w:r>
      <w:r>
        <w:t>’ (</w:t>
      </w:r>
      <w:r w:rsidRPr="00E86D64">
        <w:t>2017</w:t>
      </w:r>
      <w:r>
        <w:t>) 19</w:t>
      </w:r>
      <w:r w:rsidR="002F6CE9">
        <w:t xml:space="preserve"> </w:t>
      </w:r>
      <w:r w:rsidRPr="002F6CE9">
        <w:t>International Feminist Journal of Politics</w:t>
      </w:r>
      <w:r w:rsidRPr="00E86D64">
        <w:t xml:space="preserve"> 506</w:t>
      </w:r>
      <w:r w:rsidR="002F6CE9">
        <w:t>.</w:t>
      </w:r>
    </w:p>
  </w:footnote>
  <w:footnote w:id="116">
    <w:p w14:paraId="50C6AF14" w14:textId="76BD8EDC" w:rsidR="0011027D" w:rsidRDefault="0011027D">
      <w:pPr>
        <w:pStyle w:val="FootnoteText"/>
      </w:pPr>
      <w:r>
        <w:rPr>
          <w:rStyle w:val="FootnoteReference"/>
        </w:rPr>
        <w:footnoteRef/>
      </w:r>
      <w:r>
        <w:t xml:space="preserve"> </w:t>
      </w:r>
      <w:proofErr w:type="spellStart"/>
      <w:r w:rsidRPr="00913441">
        <w:t>Kapur</w:t>
      </w:r>
      <w:proofErr w:type="spellEnd"/>
      <w:r w:rsidRPr="00913441">
        <w:t xml:space="preserve"> </w:t>
      </w:r>
      <w:r w:rsidR="002F6CE9">
        <w:t xml:space="preserve">(n </w:t>
      </w:r>
      <w:r w:rsidR="006B1A4E">
        <w:t>3</w:t>
      </w:r>
      <w:r w:rsidR="001D4066">
        <w:t>9</w:t>
      </w:r>
      <w:r w:rsidR="002F6CE9">
        <w:t>).</w:t>
      </w:r>
    </w:p>
  </w:footnote>
  <w:footnote w:id="117">
    <w:p w14:paraId="4D5B3FD1" w14:textId="3155ADE4" w:rsidR="0011027D" w:rsidRDefault="0011027D">
      <w:pPr>
        <w:pStyle w:val="FootnoteText"/>
      </w:pPr>
      <w:r w:rsidRPr="00FE1CFE">
        <w:rPr>
          <w:rStyle w:val="FootnoteReference"/>
        </w:rPr>
        <w:footnoteRef/>
      </w:r>
      <w:r w:rsidRPr="00FE1CFE">
        <w:t xml:space="preserve"> UNSC 2015</w:t>
      </w:r>
      <w:r w:rsidR="00FE1CFE" w:rsidRPr="00FE1CFE">
        <w:t xml:space="preserve"> (n 6</w:t>
      </w:r>
      <w:r w:rsidR="00615AC9">
        <w:t>6</w:t>
      </w:r>
      <w:r w:rsidR="00FE1CFE" w:rsidRPr="00FE1CFE">
        <w:t>)</w:t>
      </w:r>
      <w:r w:rsidRPr="00FE1CFE">
        <w:t>;</w:t>
      </w:r>
      <w:r w:rsidR="00FE1CFE" w:rsidRPr="00FE1CFE">
        <w:t xml:space="preserve"> UNSC</w:t>
      </w:r>
      <w:r w:rsidRPr="00FE1CFE">
        <w:t xml:space="preserve"> 2013</w:t>
      </w:r>
      <w:r w:rsidR="00FE1CFE" w:rsidRPr="00FE1CFE">
        <w:t xml:space="preserve"> (n 6</w:t>
      </w:r>
      <w:r w:rsidR="00615AC9">
        <w:t>7</w:t>
      </w:r>
      <w:r w:rsidR="00FE1CFE" w:rsidRPr="00FE1CFE">
        <w:t>)</w:t>
      </w:r>
      <w:r w:rsidRPr="00FE1CFE">
        <w:t>;</w:t>
      </w:r>
      <w:r w:rsidR="00FE1CFE" w:rsidRPr="00FE1CFE">
        <w:t xml:space="preserve"> UNSC</w:t>
      </w:r>
      <w:r w:rsidRPr="00FE1CFE">
        <w:t xml:space="preserve"> 2009</w:t>
      </w:r>
      <w:r w:rsidR="00FE1CFE" w:rsidRPr="00FE1CFE">
        <w:t xml:space="preserve"> (n 6</w:t>
      </w:r>
      <w:r w:rsidR="00615AC9">
        <w:t>7</w:t>
      </w:r>
      <w:r w:rsidR="00FE1CFE" w:rsidRPr="00FE1CFE">
        <w:t>).</w:t>
      </w:r>
    </w:p>
  </w:footnote>
  <w:footnote w:id="118">
    <w:p w14:paraId="2407F97F" w14:textId="0361A5E9" w:rsidR="0011027D" w:rsidRPr="00E86D64" w:rsidRDefault="0011027D" w:rsidP="00E86D64">
      <w:pPr>
        <w:pStyle w:val="FootnoteText"/>
        <w:rPr>
          <w:lang w:val="en-US"/>
        </w:rPr>
      </w:pPr>
      <w:r>
        <w:rPr>
          <w:rStyle w:val="FootnoteReference"/>
        </w:rPr>
        <w:footnoteRef/>
      </w:r>
      <w:r>
        <w:rPr>
          <w:lang w:val="en-US"/>
        </w:rPr>
        <w:t xml:space="preserve"> </w:t>
      </w:r>
      <w:r w:rsidRPr="00E86D64">
        <w:rPr>
          <w:lang w:val="en-US"/>
        </w:rPr>
        <w:t>Miller</w:t>
      </w:r>
      <w:r w:rsidR="00305FD1">
        <w:rPr>
          <w:lang w:val="en-US"/>
        </w:rPr>
        <w:t xml:space="preserve"> (n 4</w:t>
      </w:r>
      <w:r w:rsidR="00EB512D">
        <w:rPr>
          <w:lang w:val="en-US"/>
        </w:rPr>
        <w:t>5</w:t>
      </w:r>
      <w:r w:rsidR="00305FD1">
        <w:rPr>
          <w:lang w:val="en-US"/>
        </w:rPr>
        <w:t>)</w:t>
      </w:r>
      <w:r w:rsidR="009C3300">
        <w:rPr>
          <w:lang w:val="en-US"/>
        </w:rPr>
        <w:t>.</w:t>
      </w:r>
    </w:p>
  </w:footnote>
  <w:footnote w:id="119">
    <w:p w14:paraId="48858101" w14:textId="64E61A19" w:rsidR="0011027D" w:rsidRDefault="0011027D">
      <w:pPr>
        <w:pStyle w:val="FootnoteText"/>
      </w:pPr>
      <w:r>
        <w:rPr>
          <w:rStyle w:val="FootnoteReference"/>
        </w:rPr>
        <w:footnoteRef/>
      </w:r>
      <w:r>
        <w:t xml:space="preserve"> </w:t>
      </w:r>
      <w:r w:rsidRPr="0019005C">
        <w:t xml:space="preserve">Miller </w:t>
      </w:r>
      <w:r w:rsidR="002F6CE9">
        <w:t xml:space="preserve">(n </w:t>
      </w:r>
      <w:r w:rsidR="00305FD1">
        <w:t>4</w:t>
      </w:r>
      <w:r w:rsidR="00EB512D">
        <w:t>5</w:t>
      </w:r>
      <w:r w:rsidR="002F6CE9">
        <w:t>)</w:t>
      </w:r>
      <w:r w:rsidRPr="0019005C">
        <w:t xml:space="preserve"> 18</w:t>
      </w:r>
      <w:r w:rsidR="002F6CE9">
        <w:t>.</w:t>
      </w:r>
    </w:p>
  </w:footnote>
  <w:footnote w:id="120">
    <w:p w14:paraId="06DEB494" w14:textId="690815DC" w:rsidR="0011027D" w:rsidRDefault="0011027D">
      <w:pPr>
        <w:pStyle w:val="FootnoteText"/>
      </w:pPr>
      <w:r>
        <w:rPr>
          <w:rStyle w:val="FootnoteReference"/>
        </w:rPr>
        <w:footnoteRef/>
      </w:r>
      <w:r>
        <w:t xml:space="preserve"> </w:t>
      </w:r>
      <w:proofErr w:type="spellStart"/>
      <w:r w:rsidRPr="0019005C">
        <w:t>Peucherbigal</w:t>
      </w:r>
      <w:proofErr w:type="spellEnd"/>
      <w:r>
        <w:t xml:space="preserve"> </w:t>
      </w:r>
      <w:r w:rsidR="002F6CE9">
        <w:t>(n 8)</w:t>
      </w:r>
      <w:r>
        <w:t>;</w:t>
      </w:r>
      <w:r w:rsidRPr="0019005C">
        <w:t xml:space="preserve"> Miller</w:t>
      </w:r>
      <w:r w:rsidR="002F6CE9">
        <w:t xml:space="preserve"> (n </w:t>
      </w:r>
      <w:r w:rsidR="00305FD1">
        <w:t>4</w:t>
      </w:r>
      <w:r w:rsidR="00EB512D">
        <w:t>5</w:t>
      </w:r>
      <w:r w:rsidR="002F6CE9">
        <w:t>)</w:t>
      </w:r>
      <w:r>
        <w:t>;</w:t>
      </w:r>
      <w:r w:rsidRPr="0019005C">
        <w:t xml:space="preserve"> </w:t>
      </w:r>
      <w:proofErr w:type="spellStart"/>
      <w:r w:rsidRPr="00913441">
        <w:t>Kapur</w:t>
      </w:r>
      <w:proofErr w:type="spellEnd"/>
      <w:r w:rsidRPr="00913441">
        <w:t xml:space="preserve"> </w:t>
      </w:r>
      <w:r w:rsidR="002F6CE9">
        <w:t>(n 3</w:t>
      </w:r>
      <w:r w:rsidR="001D4066">
        <w:t>9</w:t>
      </w:r>
      <w:r w:rsidR="002F6CE9">
        <w:t>).</w:t>
      </w:r>
    </w:p>
  </w:footnote>
  <w:footnote w:id="121">
    <w:p w14:paraId="2EC1026E" w14:textId="5E8083D6" w:rsidR="0011027D" w:rsidRPr="00E86D64" w:rsidRDefault="0011027D" w:rsidP="00E86D64">
      <w:pPr>
        <w:jc w:val="both"/>
        <w:rPr>
          <w:sz w:val="20"/>
          <w:szCs w:val="20"/>
          <w:lang w:val="en-US"/>
        </w:rPr>
      </w:pPr>
      <w:r w:rsidRPr="009C3300">
        <w:rPr>
          <w:rStyle w:val="FootnoteReference"/>
          <w:sz w:val="20"/>
          <w:szCs w:val="20"/>
        </w:rPr>
        <w:footnoteRef/>
      </w:r>
      <w:r w:rsidRPr="009C3300">
        <w:rPr>
          <w:sz w:val="20"/>
          <w:szCs w:val="20"/>
          <w:lang w:val="en-US"/>
        </w:rPr>
        <w:t xml:space="preserve"> Hudson</w:t>
      </w:r>
      <w:r w:rsidR="0040448A">
        <w:rPr>
          <w:sz w:val="20"/>
          <w:szCs w:val="20"/>
          <w:lang w:val="en-US"/>
        </w:rPr>
        <w:t xml:space="preserve"> </w:t>
      </w:r>
      <w:proofErr w:type="gramStart"/>
      <w:r w:rsidR="0040448A">
        <w:rPr>
          <w:sz w:val="20"/>
          <w:szCs w:val="20"/>
          <w:lang w:val="en-US"/>
        </w:rPr>
        <w:t>( n</w:t>
      </w:r>
      <w:proofErr w:type="gramEnd"/>
      <w:r w:rsidR="0040448A">
        <w:rPr>
          <w:sz w:val="20"/>
          <w:szCs w:val="20"/>
          <w:lang w:val="en-US"/>
        </w:rPr>
        <w:t xml:space="preserve"> 56) </w:t>
      </w:r>
    </w:p>
  </w:footnote>
  <w:footnote w:id="122">
    <w:p w14:paraId="49277124" w14:textId="1D776152" w:rsidR="0011027D" w:rsidRPr="00E86D64" w:rsidRDefault="0011027D" w:rsidP="00E86D64">
      <w:pPr>
        <w:pStyle w:val="NormalWeb"/>
        <w:jc w:val="both"/>
        <w:rPr>
          <w:sz w:val="20"/>
          <w:szCs w:val="20"/>
        </w:rPr>
      </w:pPr>
      <w:r>
        <w:rPr>
          <w:rStyle w:val="FootnoteReference"/>
        </w:rPr>
        <w:footnoteRef/>
      </w:r>
      <w:r>
        <w:rPr>
          <w:sz w:val="20"/>
          <w:szCs w:val="20"/>
        </w:rPr>
        <w:t xml:space="preserve"> </w:t>
      </w:r>
      <w:r w:rsidRPr="008E46AA">
        <w:rPr>
          <w:sz w:val="20"/>
          <w:szCs w:val="20"/>
        </w:rPr>
        <w:t>Holmes</w:t>
      </w:r>
      <w:r>
        <w:rPr>
          <w:sz w:val="20"/>
          <w:szCs w:val="20"/>
        </w:rPr>
        <w:t xml:space="preserve"> </w:t>
      </w:r>
      <w:r w:rsidR="007A013D">
        <w:rPr>
          <w:sz w:val="20"/>
          <w:szCs w:val="20"/>
        </w:rPr>
        <w:t>(n 1)</w:t>
      </w:r>
      <w:r w:rsidR="00FE1CFE">
        <w:rPr>
          <w:sz w:val="20"/>
          <w:szCs w:val="20"/>
        </w:rPr>
        <w:t>.</w:t>
      </w:r>
    </w:p>
  </w:footnote>
  <w:footnote w:id="123">
    <w:p w14:paraId="68AA1A6A" w14:textId="624C8D66" w:rsidR="0011027D" w:rsidRDefault="0011027D">
      <w:pPr>
        <w:pStyle w:val="FootnoteText"/>
      </w:pPr>
      <w:r>
        <w:rPr>
          <w:rStyle w:val="FootnoteReference"/>
        </w:rPr>
        <w:footnoteRef/>
      </w:r>
      <w:r>
        <w:t xml:space="preserve"> </w:t>
      </w:r>
      <w:r w:rsidRPr="0019005C">
        <w:t xml:space="preserve">Miller </w:t>
      </w:r>
      <w:r w:rsidR="002F6CE9">
        <w:t xml:space="preserve">(n </w:t>
      </w:r>
      <w:r w:rsidR="00305FD1">
        <w:t>4</w:t>
      </w:r>
      <w:r w:rsidR="00EB512D">
        <w:t>5</w:t>
      </w:r>
      <w:r w:rsidR="002F6CE9">
        <w:t>).</w:t>
      </w:r>
    </w:p>
  </w:footnote>
  <w:footnote w:id="124">
    <w:p w14:paraId="6E267619" w14:textId="529875CD" w:rsidR="0011027D" w:rsidRDefault="0011027D">
      <w:pPr>
        <w:pStyle w:val="FootnoteText"/>
      </w:pPr>
      <w:r>
        <w:rPr>
          <w:rStyle w:val="FootnoteReference"/>
        </w:rPr>
        <w:footnoteRef/>
      </w:r>
      <w:r>
        <w:t xml:space="preserve"> </w:t>
      </w:r>
      <w:r w:rsidRPr="0019005C">
        <w:t xml:space="preserve">O’Rourke </w:t>
      </w:r>
      <w:r w:rsidR="002F6CE9">
        <w:t>(n 5</w:t>
      </w:r>
      <w:r w:rsidR="002F6CE9">
        <w:tab/>
      </w:r>
      <w:r w:rsidR="001D4066">
        <w:t>7</w:t>
      </w:r>
      <w:r w:rsidR="002F6CE9">
        <w:t>)</w:t>
      </w:r>
      <w:r w:rsidR="007D161B">
        <w:t>.</w:t>
      </w:r>
    </w:p>
  </w:footnote>
  <w:footnote w:id="125">
    <w:p w14:paraId="6C934354" w14:textId="52AA5761" w:rsidR="0011027D" w:rsidRDefault="0011027D">
      <w:pPr>
        <w:pStyle w:val="FootnoteText"/>
      </w:pPr>
      <w:r>
        <w:rPr>
          <w:rStyle w:val="FootnoteReference"/>
        </w:rPr>
        <w:footnoteRef/>
      </w:r>
      <w:r>
        <w:t xml:space="preserve"> </w:t>
      </w:r>
      <w:r w:rsidRPr="0019005C">
        <w:t xml:space="preserve">Shepherd </w:t>
      </w:r>
      <w:r w:rsidR="007D161B">
        <w:t>(n 8</w:t>
      </w:r>
      <w:r w:rsidR="00FD4A0E">
        <w:t>6</w:t>
      </w:r>
      <w:r w:rsidR="007D161B">
        <w:t>).</w:t>
      </w:r>
    </w:p>
  </w:footnote>
  <w:footnote w:id="126">
    <w:p w14:paraId="0E3663ED" w14:textId="59A62402" w:rsidR="0011027D" w:rsidRPr="00E86D64" w:rsidRDefault="0011027D" w:rsidP="009C3300">
      <w:pPr>
        <w:spacing w:line="276" w:lineRule="auto"/>
        <w:rPr>
          <w:sz w:val="20"/>
          <w:szCs w:val="20"/>
        </w:rPr>
      </w:pPr>
      <w:r w:rsidRPr="00E86D64">
        <w:rPr>
          <w:rStyle w:val="FootnoteReference"/>
          <w:sz w:val="20"/>
          <w:szCs w:val="20"/>
        </w:rPr>
        <w:footnoteRef/>
      </w:r>
      <w:r w:rsidRPr="00E86D64">
        <w:rPr>
          <w:sz w:val="20"/>
          <w:szCs w:val="20"/>
        </w:rPr>
        <w:t xml:space="preserve"> </w:t>
      </w:r>
      <w:r w:rsidR="009C3300" w:rsidRPr="009C3300">
        <w:rPr>
          <w:sz w:val="20"/>
          <w:szCs w:val="20"/>
        </w:rPr>
        <w:t xml:space="preserve">UN General Assembly, ‘Convention on the Elimination of All Forms of Discrimination Against Women’, </w:t>
      </w:r>
      <w:r w:rsidR="009C3300">
        <w:rPr>
          <w:sz w:val="20"/>
          <w:szCs w:val="20"/>
        </w:rPr>
        <w:t>(1</w:t>
      </w:r>
      <w:r w:rsidR="009C3300" w:rsidRPr="009C3300">
        <w:rPr>
          <w:sz w:val="20"/>
          <w:szCs w:val="20"/>
        </w:rPr>
        <w:t>8 December 1979</w:t>
      </w:r>
      <w:r w:rsidR="009C3300">
        <w:rPr>
          <w:sz w:val="20"/>
          <w:szCs w:val="20"/>
        </w:rPr>
        <w:t>)</w:t>
      </w:r>
      <w:r w:rsidR="009C3300" w:rsidRPr="009C3300">
        <w:rPr>
          <w:sz w:val="20"/>
          <w:szCs w:val="20"/>
        </w:rPr>
        <w:t>, 1249 UNTS 13 (CEDAW)</w:t>
      </w:r>
      <w:r w:rsidR="009C3300">
        <w:rPr>
          <w:sz w:val="20"/>
          <w:szCs w:val="20"/>
        </w:rPr>
        <w:t xml:space="preserve">. </w:t>
      </w:r>
      <w:r w:rsidRPr="00E86D64">
        <w:rPr>
          <w:sz w:val="20"/>
          <w:szCs w:val="20"/>
        </w:rPr>
        <w:t>CEDAW provides the right to participate for women, ‘on equal terms with men’ in the formulation of government policy and to perform all public functions, which includes peace-building functions</w:t>
      </w:r>
      <w:r w:rsidR="009C3300">
        <w:rPr>
          <w:sz w:val="20"/>
          <w:szCs w:val="20"/>
        </w:rPr>
        <w:t xml:space="preserve"> -</w:t>
      </w:r>
      <w:r w:rsidRPr="00E86D64">
        <w:rPr>
          <w:sz w:val="20"/>
          <w:szCs w:val="20"/>
        </w:rPr>
        <w:t xml:space="preserve"> Article 7(b) &amp; Article 8</w:t>
      </w:r>
      <w:r w:rsidR="007D161B">
        <w:rPr>
          <w:sz w:val="20"/>
          <w:szCs w:val="20"/>
        </w:rPr>
        <w:t>.</w:t>
      </w:r>
    </w:p>
  </w:footnote>
  <w:footnote w:id="127">
    <w:p w14:paraId="16D6637A" w14:textId="792264F5" w:rsidR="0011027D" w:rsidRDefault="0011027D" w:rsidP="00E86D64">
      <w:pPr>
        <w:pStyle w:val="FootnoteText"/>
      </w:pPr>
      <w:r>
        <w:rPr>
          <w:rStyle w:val="FootnoteReference"/>
        </w:rPr>
        <w:footnoteRef/>
      </w:r>
      <w:r>
        <w:t xml:space="preserve"> </w:t>
      </w:r>
      <w:r w:rsidRPr="00E86D64">
        <w:t>Radhika Coomaraswamy</w:t>
      </w:r>
      <w:r w:rsidR="007D161B">
        <w:t>,</w:t>
      </w:r>
      <w:r>
        <w:t xml:space="preserve"> </w:t>
      </w:r>
      <w:r w:rsidRPr="00E86D64">
        <w:rPr>
          <w:i/>
          <w:iCs/>
        </w:rPr>
        <w:t>Preventing Conflict, Transforming Justice, Securing the Peace: A Global Study on the Implementation of United Nations Security Council resolution 1325</w:t>
      </w:r>
      <w:r>
        <w:t xml:space="preserve"> (</w:t>
      </w:r>
      <w:r w:rsidRPr="00E86D64">
        <w:t>UN Women 2015</w:t>
      </w:r>
      <w:r>
        <w:t>)</w:t>
      </w:r>
      <w:r w:rsidR="007D161B">
        <w:t>.</w:t>
      </w:r>
    </w:p>
  </w:footnote>
  <w:footnote w:id="128">
    <w:p w14:paraId="56E163E9" w14:textId="253CF4E5" w:rsidR="0011027D" w:rsidRDefault="0011027D" w:rsidP="00C67778">
      <w:pPr>
        <w:pStyle w:val="FootnoteText"/>
      </w:pPr>
      <w:r>
        <w:rPr>
          <w:rStyle w:val="FootnoteReference"/>
        </w:rPr>
        <w:footnoteRef/>
      </w:r>
      <w:r>
        <w:t xml:space="preserve"> </w:t>
      </w:r>
      <w:r w:rsidRPr="00E86D64">
        <w:t>United Nations</w:t>
      </w:r>
      <w:r w:rsidR="00C67778">
        <w:t xml:space="preserve"> </w:t>
      </w:r>
      <w:r w:rsidRPr="00E86D64">
        <w:t xml:space="preserve">Committee on the Elimination of All Forms of Discrimination against Women, </w:t>
      </w:r>
      <w:r w:rsidR="00C67778">
        <w:t>‘</w:t>
      </w:r>
      <w:r w:rsidRPr="00E86D64">
        <w:t>General Recommendation No 23:</w:t>
      </w:r>
      <w:r w:rsidR="00C67778">
        <w:t xml:space="preserve"> </w:t>
      </w:r>
      <w:r w:rsidRPr="00E86D64">
        <w:t>Political and Public Life</w:t>
      </w:r>
      <w:r w:rsidR="00C67778">
        <w:t>’</w:t>
      </w:r>
      <w:r w:rsidRPr="00E86D64">
        <w:t xml:space="preserve"> (16th session, 1997).</w:t>
      </w:r>
      <w:r>
        <w:t xml:space="preserve"> </w:t>
      </w:r>
      <w:r w:rsidR="00C67778" w:rsidRPr="00C67778">
        <w:t>U.N. Doc. A/52/38/</w:t>
      </w:r>
      <w:r w:rsidR="00C67778">
        <w:t>,</w:t>
      </w:r>
      <w:r w:rsidR="00C67778" w:rsidRPr="00C67778">
        <w:t xml:space="preserve"> </w:t>
      </w:r>
      <w:r w:rsidRPr="0019005C">
        <w:t>para 15</w:t>
      </w:r>
      <w:r w:rsidR="007D161B">
        <w:t>.</w:t>
      </w:r>
    </w:p>
  </w:footnote>
  <w:footnote w:id="129">
    <w:p w14:paraId="48B3EB39" w14:textId="73C439EE" w:rsidR="0011027D" w:rsidRDefault="0011027D" w:rsidP="00E86D64">
      <w:pPr>
        <w:pStyle w:val="FootnoteText"/>
      </w:pPr>
      <w:r>
        <w:rPr>
          <w:rStyle w:val="FootnoteReference"/>
        </w:rPr>
        <w:footnoteRef/>
      </w:r>
      <w:r>
        <w:t xml:space="preserve"> </w:t>
      </w:r>
      <w:r w:rsidRPr="00E86D64">
        <w:t xml:space="preserve">United Nations Committee on the Elimination of All Forms of Discrimination against Women, </w:t>
      </w:r>
      <w:r w:rsidR="001F740C">
        <w:t>‘</w:t>
      </w:r>
      <w:r w:rsidRPr="00E86D64">
        <w:t>General Recommendation No 30 on women in conflict prevention, conflict and post-conflict situations</w:t>
      </w:r>
      <w:proofErr w:type="gramStart"/>
      <w:r w:rsidR="001F740C">
        <w:t xml:space="preserve">’ </w:t>
      </w:r>
      <w:r w:rsidRPr="00E86D64">
        <w:t xml:space="preserve"> (</w:t>
      </w:r>
      <w:proofErr w:type="gramEnd"/>
      <w:r w:rsidRPr="00E86D64">
        <w:t>18 October 2013)</w:t>
      </w:r>
      <w:r w:rsidR="001F740C">
        <w:t xml:space="preserve"> U.N Doc. </w:t>
      </w:r>
      <w:r w:rsidR="001F740C" w:rsidRPr="00E86D64">
        <w:t>CEDAW/C/GC/30</w:t>
      </w:r>
      <w:r w:rsidR="001F740C">
        <w:t>.</w:t>
      </w:r>
    </w:p>
  </w:footnote>
  <w:footnote w:id="130">
    <w:p w14:paraId="15CC4AF5" w14:textId="25460EE2" w:rsidR="0011027D" w:rsidRDefault="0011027D">
      <w:pPr>
        <w:pStyle w:val="FootnoteText"/>
      </w:pPr>
      <w:r>
        <w:rPr>
          <w:rStyle w:val="FootnoteReference"/>
        </w:rPr>
        <w:footnoteRef/>
      </w:r>
      <w:r>
        <w:t xml:space="preserve"> </w:t>
      </w:r>
      <w:r w:rsidRPr="0019005C">
        <w:t xml:space="preserve">O’Rourke </w:t>
      </w:r>
      <w:r w:rsidR="007D161B">
        <w:t>(n 5</w:t>
      </w:r>
      <w:r w:rsidR="001D4066">
        <w:t>7</w:t>
      </w:r>
      <w:r w:rsidR="007D161B">
        <w:t>)</w:t>
      </w:r>
      <w:r w:rsidRPr="0019005C">
        <w:t xml:space="preserve"> 142</w:t>
      </w:r>
      <w:r w:rsidR="007D161B">
        <w:t>.</w:t>
      </w:r>
    </w:p>
  </w:footnote>
  <w:footnote w:id="131">
    <w:p w14:paraId="2972AF4B" w14:textId="5D1879DE" w:rsidR="0011027D" w:rsidRDefault="0011027D" w:rsidP="00E86D64">
      <w:pPr>
        <w:pStyle w:val="FootnoteText"/>
      </w:pPr>
      <w:r>
        <w:rPr>
          <w:rStyle w:val="FootnoteReference"/>
        </w:rPr>
        <w:footnoteRef/>
      </w:r>
      <w:r>
        <w:t xml:space="preserve"> </w:t>
      </w:r>
      <w:r w:rsidRPr="00E86D64">
        <w:t>Hilary</w:t>
      </w:r>
      <w:r>
        <w:t xml:space="preserve"> </w:t>
      </w:r>
      <w:r w:rsidRPr="00E86D64">
        <w:t>Charlesworth</w:t>
      </w:r>
      <w:r>
        <w:t>, ‘</w:t>
      </w:r>
      <w:r w:rsidRPr="00E86D64">
        <w:t>Are Women Peaceful? Reflections on the Role of Women in Peace-Building</w:t>
      </w:r>
      <w:r>
        <w:t xml:space="preserve"> (2008) 16 </w:t>
      </w:r>
      <w:r w:rsidRPr="007D161B">
        <w:t>Feminist Legal Studies</w:t>
      </w:r>
      <w:r>
        <w:t xml:space="preserve"> </w:t>
      </w:r>
      <w:r w:rsidRPr="00E86D64">
        <w:t xml:space="preserve">347. </w:t>
      </w:r>
    </w:p>
  </w:footnote>
  <w:footnote w:id="132">
    <w:p w14:paraId="43B4B4CD" w14:textId="48B4E0F5" w:rsidR="0011027D" w:rsidRDefault="0011027D">
      <w:pPr>
        <w:pStyle w:val="FootnoteText"/>
      </w:pPr>
      <w:r>
        <w:rPr>
          <w:rStyle w:val="FootnoteReference"/>
        </w:rPr>
        <w:footnoteRef/>
      </w:r>
      <w:r>
        <w:t xml:space="preserve"> </w:t>
      </w:r>
      <w:r w:rsidRPr="0019005C">
        <w:t xml:space="preserve">Turner and Swaine </w:t>
      </w:r>
      <w:r w:rsidR="007D161B">
        <w:t xml:space="preserve">(n </w:t>
      </w:r>
      <w:r w:rsidR="00F267CB">
        <w:t>3</w:t>
      </w:r>
      <w:r w:rsidR="007D161B">
        <w:t>).</w:t>
      </w:r>
    </w:p>
  </w:footnote>
  <w:footnote w:id="133">
    <w:p w14:paraId="4006F355" w14:textId="549CB6E9" w:rsidR="0011027D" w:rsidRDefault="0011027D">
      <w:pPr>
        <w:pStyle w:val="FootnoteText"/>
      </w:pPr>
      <w:r>
        <w:rPr>
          <w:rStyle w:val="FootnoteReference"/>
        </w:rPr>
        <w:footnoteRef/>
      </w:r>
      <w:r>
        <w:t xml:space="preserve"> </w:t>
      </w:r>
      <w:r w:rsidRPr="0019005C">
        <w:t>O’Rourke</w:t>
      </w:r>
      <w:r>
        <w:t xml:space="preserve"> </w:t>
      </w:r>
      <w:r w:rsidR="007D161B">
        <w:t>(n 5</w:t>
      </w:r>
      <w:r w:rsidR="001D4066">
        <w:t>7</w:t>
      </w:r>
      <w:r w:rsidR="007D161B">
        <w:t>)</w:t>
      </w:r>
      <w:r w:rsidRPr="0019005C">
        <w:t xml:space="preserve"> 145</w:t>
      </w:r>
      <w:r w:rsidR="007D161B">
        <w:t>.</w:t>
      </w:r>
    </w:p>
  </w:footnote>
  <w:footnote w:id="134">
    <w:p w14:paraId="0F3B8D12" w14:textId="49EF5E77" w:rsidR="001E79F1" w:rsidRPr="00305FD1" w:rsidRDefault="001E79F1">
      <w:pPr>
        <w:pStyle w:val="FootnoteText"/>
        <w:rPr>
          <w:lang w:val="en-US"/>
        </w:rPr>
      </w:pPr>
      <w:r>
        <w:rPr>
          <w:rStyle w:val="FootnoteReference"/>
        </w:rPr>
        <w:footnoteRef/>
      </w:r>
      <w:r w:rsidR="00305FD1">
        <w:rPr>
          <w:lang w:val="en-US"/>
        </w:rPr>
        <w:t xml:space="preserve"> </w:t>
      </w:r>
      <w:r w:rsidR="00305FD1" w:rsidRPr="00305FD1">
        <w:rPr>
          <w:lang w:val="en-US"/>
        </w:rPr>
        <w:t>Fiona</w:t>
      </w:r>
      <w:r w:rsidR="00305FD1">
        <w:rPr>
          <w:lang w:val="en-US"/>
        </w:rPr>
        <w:t xml:space="preserve"> </w:t>
      </w:r>
      <w:r w:rsidR="00305FD1" w:rsidRPr="00305FD1">
        <w:rPr>
          <w:lang w:val="en-US"/>
        </w:rPr>
        <w:t>Robertson</w:t>
      </w:r>
      <w:r w:rsidR="001F740C">
        <w:rPr>
          <w:lang w:val="en-US"/>
        </w:rPr>
        <w:t>,</w:t>
      </w:r>
      <w:r w:rsidR="00305FD1" w:rsidRPr="00305FD1">
        <w:rPr>
          <w:lang w:val="en-US"/>
        </w:rPr>
        <w:t xml:space="preserve"> </w:t>
      </w:r>
      <w:r w:rsidR="00305FD1" w:rsidRPr="00305FD1">
        <w:rPr>
          <w:i/>
          <w:lang w:val="en-US"/>
        </w:rPr>
        <w:t>The Ethics of Care: A Feminist Approach to Human Security</w:t>
      </w:r>
      <w:r w:rsidR="00F12771" w:rsidRPr="00F12771">
        <w:rPr>
          <w:iCs/>
          <w:lang w:val="en-US"/>
        </w:rPr>
        <w:t xml:space="preserve"> (</w:t>
      </w:r>
      <w:r w:rsidR="00305FD1" w:rsidRPr="00305FD1">
        <w:rPr>
          <w:lang w:val="en-US"/>
        </w:rPr>
        <w:t>Temple University Press</w:t>
      </w:r>
      <w:r w:rsidR="00F12771">
        <w:rPr>
          <w:lang w:val="en-US"/>
        </w:rPr>
        <w:t xml:space="preserve"> 2018).</w:t>
      </w:r>
    </w:p>
  </w:footnote>
  <w:footnote w:id="135">
    <w:p w14:paraId="7A7EFCCB" w14:textId="119F7940" w:rsidR="006C362F" w:rsidRDefault="006C362F">
      <w:pPr>
        <w:pStyle w:val="FootnoteText"/>
      </w:pPr>
      <w:r>
        <w:rPr>
          <w:rStyle w:val="FootnoteReference"/>
        </w:rPr>
        <w:footnoteRef/>
      </w:r>
      <w:r>
        <w:t xml:space="preserve"> Louise </w:t>
      </w:r>
      <w:proofErr w:type="spellStart"/>
      <w:r>
        <w:t>Aramitsu</w:t>
      </w:r>
      <w:proofErr w:type="spellEnd"/>
      <w:r w:rsidR="00550D4F">
        <w:t xml:space="preserve">, Christine </w:t>
      </w:r>
      <w:proofErr w:type="spellStart"/>
      <w:r w:rsidR="00550D4F">
        <w:t>Chinkin</w:t>
      </w:r>
      <w:proofErr w:type="spellEnd"/>
      <w:r w:rsidR="00550D4F">
        <w:t xml:space="preserve">, </w:t>
      </w:r>
      <w:proofErr w:type="spellStart"/>
      <w:r w:rsidR="00550D4F">
        <w:t>Keina</w:t>
      </w:r>
      <w:proofErr w:type="spellEnd"/>
      <w:r w:rsidR="00550D4F">
        <w:t xml:space="preserve"> </w:t>
      </w:r>
      <w:proofErr w:type="gramStart"/>
      <w:r w:rsidR="00550D4F">
        <w:t>Yoshida,  '</w:t>
      </w:r>
      <w:proofErr w:type="gramEnd"/>
      <w:r w:rsidR="00550D4F">
        <w:t>A Vision for Feminist Peace’(LSE Women, Peace and Security blog, 20 August 2020) &lt;</w:t>
      </w:r>
      <w:r w:rsidR="00550D4F" w:rsidRPr="00550D4F">
        <w:t>http://eprints.lse.ac.uk/106095/1/WPS_2020_07_14_a_vision_for_feminist_peace.pdf</w:t>
      </w:r>
      <w:r w:rsidR="00550D4F">
        <w:t>&gt;</w:t>
      </w:r>
    </w:p>
  </w:footnote>
  <w:footnote w:id="136">
    <w:p w14:paraId="5D4B11D8" w14:textId="5F0E6462" w:rsidR="009311E9" w:rsidRDefault="009311E9" w:rsidP="00EC4E84">
      <w:pPr>
        <w:pStyle w:val="FootnoteText"/>
      </w:pPr>
      <w:r>
        <w:rPr>
          <w:rStyle w:val="FootnoteReference"/>
        </w:rPr>
        <w:footnoteRef/>
      </w:r>
      <w:r>
        <w:t xml:space="preserve"> </w:t>
      </w:r>
      <w:r w:rsidRPr="009311E9">
        <w:t>Rosemary Grey</w:t>
      </w:r>
      <w:r>
        <w:t>,</w:t>
      </w:r>
      <w:r w:rsidRPr="009311E9">
        <w:t xml:space="preserve"> </w:t>
      </w:r>
      <w:proofErr w:type="spellStart"/>
      <w:r w:rsidRPr="009311E9">
        <w:t>Kcasey</w:t>
      </w:r>
      <w:proofErr w:type="spellEnd"/>
      <w:r w:rsidRPr="009311E9">
        <w:t xml:space="preserve"> McLoughlin</w:t>
      </w:r>
      <w:r w:rsidR="00EC4E84">
        <w:t>,</w:t>
      </w:r>
      <w:r w:rsidRPr="009311E9">
        <w:t xml:space="preserve"> Louise </w:t>
      </w:r>
      <w:proofErr w:type="spellStart"/>
      <w:r w:rsidRPr="009311E9">
        <w:t>Chappel</w:t>
      </w:r>
      <w:proofErr w:type="spellEnd"/>
      <w:r w:rsidR="00EC4E84">
        <w:t>, ‘</w:t>
      </w:r>
      <w:r w:rsidRPr="009311E9">
        <w:t>Gender and judging at the International Criminal Court: Lessons from ‘feminist judgment projects’</w:t>
      </w:r>
      <w:r w:rsidR="00EC4E84">
        <w:t xml:space="preserve"> (2012) 34 </w:t>
      </w:r>
      <w:r w:rsidRPr="009311E9">
        <w:t>Leiden Journal of International Law 247</w:t>
      </w:r>
      <w:r w:rsidR="00EC4E84">
        <w:t xml:space="preserve">; </w:t>
      </w:r>
      <w:r w:rsidR="00EC4E84" w:rsidRPr="00EC4E84">
        <w:t>Loveday Hodson</w:t>
      </w:r>
      <w:r w:rsidR="00EC4E84">
        <w:t xml:space="preserve">, </w:t>
      </w:r>
      <w:r w:rsidR="00EC4E84" w:rsidRPr="00EC4E84">
        <w:t>Troy Lavers (eds)</w:t>
      </w:r>
      <w:r w:rsidR="00EC4E84">
        <w:t xml:space="preserve"> </w:t>
      </w:r>
      <w:r w:rsidR="00EC4E84" w:rsidRPr="00EC4E84">
        <w:rPr>
          <w:i/>
          <w:iCs/>
        </w:rPr>
        <w:t>Feminist Judgments in International Law</w:t>
      </w:r>
      <w:r w:rsidR="00EC4E84">
        <w:t xml:space="preserve"> (</w:t>
      </w:r>
      <w:r w:rsidR="00EC4E84" w:rsidRPr="00EC4E84">
        <w:t>Hart 2019</w:t>
      </w:r>
      <w:r w:rsidR="00EC4E84">
        <w:t>).</w:t>
      </w:r>
    </w:p>
  </w:footnote>
  <w:footnote w:id="137">
    <w:p w14:paraId="448BEC36" w14:textId="10D5ECB5" w:rsidR="00236453" w:rsidRPr="00B9258E" w:rsidRDefault="00236453" w:rsidP="00B9258E">
      <w:pPr>
        <w:jc w:val="both"/>
        <w:rPr>
          <w:sz w:val="20"/>
          <w:szCs w:val="20"/>
        </w:rPr>
      </w:pPr>
      <w:r>
        <w:rPr>
          <w:rStyle w:val="FootnoteReference"/>
        </w:rPr>
        <w:footnoteRef/>
      </w:r>
      <w:r w:rsidR="00B9258E">
        <w:rPr>
          <w:sz w:val="20"/>
          <w:szCs w:val="20"/>
        </w:rPr>
        <w:t xml:space="preserve"> </w:t>
      </w:r>
      <w:r w:rsidR="00B9258E" w:rsidRPr="008E46AA">
        <w:rPr>
          <w:sz w:val="20"/>
          <w:szCs w:val="20"/>
        </w:rPr>
        <w:t>Jasmine-Kim</w:t>
      </w:r>
      <w:r w:rsidR="00B9258E">
        <w:rPr>
          <w:sz w:val="20"/>
          <w:szCs w:val="20"/>
        </w:rPr>
        <w:t xml:space="preserve"> </w:t>
      </w:r>
      <w:proofErr w:type="spellStart"/>
      <w:r w:rsidR="00B9258E" w:rsidRPr="008E46AA">
        <w:rPr>
          <w:sz w:val="20"/>
          <w:szCs w:val="20"/>
        </w:rPr>
        <w:t>Westendorf</w:t>
      </w:r>
      <w:proofErr w:type="spellEnd"/>
      <w:r w:rsidR="00B9258E">
        <w:rPr>
          <w:sz w:val="20"/>
          <w:szCs w:val="20"/>
        </w:rPr>
        <w:t>, ‘</w:t>
      </w:r>
      <w:r w:rsidR="00B9258E" w:rsidRPr="008E46AA">
        <w:rPr>
          <w:sz w:val="20"/>
          <w:szCs w:val="20"/>
        </w:rPr>
        <w:t>Peace negotiations in the political marketplace: the implications of women's exclusion in the Sudan-South Sudan peace process</w:t>
      </w:r>
      <w:r w:rsidR="00B9258E">
        <w:rPr>
          <w:sz w:val="20"/>
          <w:szCs w:val="20"/>
        </w:rPr>
        <w:t>’ (</w:t>
      </w:r>
      <w:r w:rsidR="00B9258E" w:rsidRPr="008E46AA">
        <w:rPr>
          <w:sz w:val="20"/>
          <w:szCs w:val="20"/>
        </w:rPr>
        <w:t>2018</w:t>
      </w:r>
      <w:r w:rsidR="00B9258E">
        <w:rPr>
          <w:sz w:val="20"/>
          <w:szCs w:val="20"/>
        </w:rPr>
        <w:t xml:space="preserve">) 72 </w:t>
      </w:r>
      <w:r w:rsidR="00B9258E" w:rsidRPr="00B9258E">
        <w:rPr>
          <w:sz w:val="20"/>
          <w:szCs w:val="20"/>
        </w:rPr>
        <w:t>Australian Journal of International Affairs</w:t>
      </w:r>
      <w:r w:rsidR="00B9258E">
        <w:rPr>
          <w:sz w:val="20"/>
          <w:szCs w:val="20"/>
        </w:rPr>
        <w:t xml:space="preserve"> </w:t>
      </w:r>
      <w:r w:rsidR="00B9258E" w:rsidRPr="008E46AA">
        <w:rPr>
          <w:sz w:val="20"/>
          <w:szCs w:val="20"/>
        </w:rPr>
        <w:t>433</w:t>
      </w:r>
      <w:r w:rsidR="00B9258E">
        <w:rPr>
          <w:sz w:val="20"/>
          <w:szCs w:val="20"/>
        </w:rPr>
        <w:t xml:space="preserve">, </w:t>
      </w:r>
      <w:r w:rsidRPr="00B9258E">
        <w:rPr>
          <w:sz w:val="20"/>
          <w:szCs w:val="20"/>
        </w:rPr>
        <w:t>435</w:t>
      </w:r>
      <w:r w:rsidR="00B9258E" w:rsidRPr="00B9258E">
        <w:rPr>
          <w:sz w:val="20"/>
          <w:szCs w:val="20"/>
        </w:rPr>
        <w:t>.</w:t>
      </w:r>
    </w:p>
  </w:footnote>
  <w:footnote w:id="138">
    <w:p w14:paraId="05589C5F" w14:textId="1F27B2A4" w:rsidR="00236453" w:rsidRDefault="00236453">
      <w:pPr>
        <w:pStyle w:val="FootnoteText"/>
      </w:pPr>
      <w:r>
        <w:rPr>
          <w:rStyle w:val="FootnoteReference"/>
        </w:rPr>
        <w:footnoteRef/>
      </w:r>
      <w:r w:rsidR="00B9258E">
        <w:t xml:space="preserve"> </w:t>
      </w:r>
      <w:r w:rsidR="00B9258E" w:rsidRPr="00B9258E">
        <w:t>Dana</w:t>
      </w:r>
      <w:r w:rsidR="00B9258E">
        <w:t xml:space="preserve"> </w:t>
      </w:r>
      <w:r w:rsidR="00B9258E" w:rsidRPr="00B9258E">
        <w:t xml:space="preserve">Landau and Andreas </w:t>
      </w:r>
      <w:proofErr w:type="spellStart"/>
      <w:r w:rsidR="00B9258E" w:rsidRPr="00B9258E">
        <w:t>Hirblinger</w:t>
      </w:r>
      <w:proofErr w:type="spellEnd"/>
      <w:r w:rsidR="00B9258E">
        <w:t>, ‘</w:t>
      </w:r>
      <w:r w:rsidR="00B9258E" w:rsidRPr="00B9258E">
        <w:t xml:space="preserve">Daring to Differ? Strategies of Inclusion in </w:t>
      </w:r>
      <w:proofErr w:type="spellStart"/>
      <w:r w:rsidR="00B9258E" w:rsidRPr="00B9258E">
        <w:t>Peacemaking</w:t>
      </w:r>
      <w:proofErr w:type="spellEnd"/>
      <w:r w:rsidR="00B9258E">
        <w:t>’ (</w:t>
      </w:r>
      <w:r w:rsidR="00B9258E" w:rsidRPr="00B9258E">
        <w:t>2020</w:t>
      </w:r>
      <w:r w:rsidR="00B9258E">
        <w:t xml:space="preserve">) 5 </w:t>
      </w:r>
      <w:r w:rsidR="00B9258E" w:rsidRPr="00B9258E">
        <w:rPr>
          <w:i/>
          <w:iCs/>
        </w:rPr>
        <w:t>Security Dialogue</w:t>
      </w:r>
      <w:r w:rsidR="00B9258E" w:rsidRPr="00B9258E">
        <w:t xml:space="preserve"> 305.</w:t>
      </w:r>
    </w:p>
  </w:footnote>
  <w:footnote w:id="139">
    <w:p w14:paraId="3A027DDF" w14:textId="4FC8FB34" w:rsidR="00236453" w:rsidRDefault="00236453">
      <w:pPr>
        <w:pStyle w:val="FootnoteText"/>
      </w:pPr>
      <w:r>
        <w:rPr>
          <w:rStyle w:val="FootnoteReference"/>
        </w:rPr>
        <w:footnoteRef/>
      </w:r>
      <w:r>
        <w:t xml:space="preserve"> See: </w:t>
      </w:r>
      <w:r w:rsidRPr="0019005C">
        <w:t xml:space="preserve">Martin de Almagro </w:t>
      </w:r>
      <w:r w:rsidR="001F7D15">
        <w:t xml:space="preserve">(n </w:t>
      </w:r>
      <w:r w:rsidR="00177B9E">
        <w:t>30</w:t>
      </w:r>
      <w:r w:rsidR="001F7D15">
        <w:t>)</w:t>
      </w:r>
      <w:r w:rsidR="001F740C">
        <w:t>.</w:t>
      </w:r>
    </w:p>
  </w:footnote>
  <w:footnote w:id="140">
    <w:p w14:paraId="4F7AD74B" w14:textId="1C765C5E" w:rsidR="00422824" w:rsidRDefault="00422824">
      <w:pPr>
        <w:pStyle w:val="FootnoteText"/>
      </w:pPr>
      <w:r>
        <w:rPr>
          <w:rStyle w:val="FootnoteReference"/>
        </w:rPr>
        <w:footnoteRef/>
      </w:r>
      <w:r>
        <w:t xml:space="preserve"> </w:t>
      </w:r>
      <w:r w:rsidRPr="0019005C">
        <w:t xml:space="preserve">Shepherd </w:t>
      </w:r>
      <w:r w:rsidR="00FD4A0E">
        <w:t>(n 51)</w:t>
      </w:r>
      <w:r>
        <w:t xml:space="preserve"> </w:t>
      </w:r>
      <w:r w:rsidRPr="0019005C">
        <w:t>506</w:t>
      </w:r>
      <w:r w:rsidR="00FD4A0E">
        <w:t>.</w:t>
      </w:r>
    </w:p>
  </w:footnote>
  <w:footnote w:id="141">
    <w:p w14:paraId="6F298E05" w14:textId="03C243F1" w:rsidR="00422824" w:rsidRDefault="00422824">
      <w:pPr>
        <w:pStyle w:val="FootnoteText"/>
      </w:pPr>
      <w:r>
        <w:rPr>
          <w:rStyle w:val="FootnoteReference"/>
        </w:rPr>
        <w:footnoteRef/>
      </w:r>
      <w:r>
        <w:t xml:space="preserve"> </w:t>
      </w:r>
      <w:r w:rsidRPr="0019005C">
        <w:t xml:space="preserve">Shepherd </w:t>
      </w:r>
      <w:r w:rsidR="00FD4A0E">
        <w:t>(n 51)</w:t>
      </w:r>
      <w:r w:rsidRPr="0019005C">
        <w:t xml:space="preserve"> 511</w:t>
      </w:r>
      <w:r w:rsidR="00FD4A0E">
        <w:t>.</w:t>
      </w:r>
    </w:p>
  </w:footnote>
  <w:footnote w:id="142">
    <w:p w14:paraId="12BFC64E" w14:textId="2130C15A" w:rsidR="00422824" w:rsidRDefault="00422824">
      <w:pPr>
        <w:pStyle w:val="FootnoteText"/>
      </w:pPr>
      <w:r>
        <w:rPr>
          <w:rStyle w:val="FootnoteReference"/>
        </w:rPr>
        <w:footnoteRef/>
      </w:r>
      <w:r>
        <w:t xml:space="preserve"> </w:t>
      </w:r>
      <w:r w:rsidRPr="0019005C">
        <w:t xml:space="preserve">Martin de Almagro </w:t>
      </w:r>
      <w:r w:rsidR="001F7D15">
        <w:t xml:space="preserve">(n </w:t>
      </w:r>
      <w:r w:rsidR="00177B9E">
        <w:t>30</w:t>
      </w:r>
      <w:r w:rsidR="001F7D15">
        <w:t>)</w:t>
      </w:r>
      <w:r w:rsidR="001F740C">
        <w:t>.</w:t>
      </w:r>
    </w:p>
  </w:footnote>
  <w:footnote w:id="143">
    <w:p w14:paraId="259818F3" w14:textId="553650B7" w:rsidR="004D0538" w:rsidRDefault="004D0538" w:rsidP="004D0538">
      <w:pPr>
        <w:pStyle w:val="FootnoteText"/>
      </w:pPr>
      <w:r>
        <w:rPr>
          <w:rStyle w:val="FootnoteReference"/>
        </w:rPr>
        <w:footnoteRef/>
      </w:r>
      <w:r>
        <w:t xml:space="preserve"> UNSCR 2467 PP</w:t>
      </w:r>
      <w:r w:rsidR="001F740C">
        <w:t>.</w:t>
      </w:r>
    </w:p>
  </w:footnote>
  <w:footnote w:id="144">
    <w:p w14:paraId="5701EBA2" w14:textId="08296AE6" w:rsidR="004D0538" w:rsidRPr="001F740C" w:rsidRDefault="004D0538" w:rsidP="004D0538">
      <w:pPr>
        <w:pStyle w:val="FootnoteText"/>
        <w:jc w:val="both"/>
      </w:pPr>
      <w:r w:rsidRPr="001F740C">
        <w:rPr>
          <w:rStyle w:val="FootnoteReference"/>
        </w:rPr>
        <w:footnoteRef/>
      </w:r>
      <w:r w:rsidRPr="001F740C">
        <w:t xml:space="preserve"> Country-specific resolutions are particularly significant in terms of implementation of WPS across the UNSC’s mandate</w:t>
      </w:r>
      <w:r w:rsidR="001F740C">
        <w:t>. A</w:t>
      </w:r>
      <w:r w:rsidRPr="001F740C">
        <w:t xml:space="preserve">nalysis of the participation-protection nexus </w:t>
      </w:r>
      <w:r w:rsidR="001F740C">
        <w:t>within</w:t>
      </w:r>
      <w:r w:rsidRPr="001F740C">
        <w:t xml:space="preserve"> those resolutions is a further area </w:t>
      </w:r>
      <w:r w:rsidR="001F740C">
        <w:t>for critical</w:t>
      </w:r>
      <w:r w:rsidRPr="001F740C">
        <w:t xml:space="preserve"> examination </w:t>
      </w:r>
      <w:r w:rsidR="001F740C">
        <w:t xml:space="preserve">through the methods and analytical inquiry </w:t>
      </w:r>
      <w:r w:rsidRPr="001F740C">
        <w:t>begun in this paper.</w:t>
      </w:r>
    </w:p>
  </w:footnote>
  <w:footnote w:id="145">
    <w:p w14:paraId="7FB97905" w14:textId="0A7F25F9" w:rsidR="004D0538" w:rsidRDefault="004D0538" w:rsidP="004D0538">
      <w:pPr>
        <w:pStyle w:val="FootnoteText"/>
      </w:pPr>
      <w:r>
        <w:rPr>
          <w:rStyle w:val="FootnoteReference"/>
        </w:rPr>
        <w:footnoteRef/>
      </w:r>
      <w:r>
        <w:t xml:space="preserve"> </w:t>
      </w:r>
      <w:r w:rsidR="00FE1CFE" w:rsidRPr="00CD2F6B">
        <w:t xml:space="preserve">UNSC Res </w:t>
      </w:r>
      <w:r w:rsidR="00FE1CFE">
        <w:t>2542</w:t>
      </w:r>
      <w:r w:rsidR="00FE1CFE" w:rsidRPr="00CD2F6B">
        <w:t xml:space="preserve"> (20</w:t>
      </w:r>
      <w:r w:rsidR="00FE1CFE">
        <w:t>20</w:t>
      </w:r>
      <w:r w:rsidR="00FE1CFE" w:rsidRPr="00CD2F6B">
        <w:t>) UN Doc</w:t>
      </w:r>
      <w:r w:rsidR="00FE1CFE">
        <w:t xml:space="preserve"> S/RES/2542 (2020) </w:t>
      </w:r>
      <w:r>
        <w:t>PP</w:t>
      </w:r>
      <w:r w:rsidR="00FE1CFE">
        <w:t>.</w:t>
      </w:r>
    </w:p>
  </w:footnote>
  <w:footnote w:id="146">
    <w:p w14:paraId="0964A67C" w14:textId="327F6ED0" w:rsidR="004D0538" w:rsidRDefault="004D0538" w:rsidP="004D0538">
      <w:pPr>
        <w:pStyle w:val="FootnoteText"/>
      </w:pPr>
      <w:r>
        <w:rPr>
          <w:rStyle w:val="FootnoteReference"/>
        </w:rPr>
        <w:footnoteRef/>
      </w:r>
      <w:r>
        <w:t xml:space="preserve"> </w:t>
      </w:r>
      <w:r w:rsidR="00FE1CFE">
        <w:t xml:space="preserve">UNSC 2019 (n </w:t>
      </w:r>
      <w:r w:rsidR="00674DB8">
        <w:t>40</w:t>
      </w:r>
      <w:r w:rsidR="00FE1CFE">
        <w:t xml:space="preserve">) </w:t>
      </w:r>
      <w:r>
        <w:t>OP21</w:t>
      </w:r>
      <w:r w:rsidR="00FE1CFE">
        <w:t>.</w:t>
      </w:r>
    </w:p>
  </w:footnote>
  <w:footnote w:id="147">
    <w:p w14:paraId="7553ABA6" w14:textId="03263791" w:rsidR="004D0538" w:rsidRDefault="004D0538" w:rsidP="004D0538">
      <w:pPr>
        <w:pStyle w:val="FootnoteText"/>
      </w:pPr>
      <w:r>
        <w:rPr>
          <w:rStyle w:val="FootnoteReference"/>
        </w:rPr>
        <w:footnoteRef/>
      </w:r>
      <w:r>
        <w:t xml:space="preserve"> </w:t>
      </w:r>
      <w:r w:rsidR="00FE1CFE">
        <w:t xml:space="preserve">UNSC 2019 (n </w:t>
      </w:r>
      <w:r w:rsidR="00674DB8">
        <w:t>41)</w:t>
      </w:r>
      <w:r w:rsidR="00FE1CFE">
        <w:t xml:space="preserve"> </w:t>
      </w:r>
      <w:r>
        <w:t>OP6</w:t>
      </w:r>
      <w:r w:rsidR="00FE1CFE">
        <w:t>.</w:t>
      </w:r>
    </w:p>
  </w:footnote>
  <w:footnote w:id="148">
    <w:p w14:paraId="25ECFFE2" w14:textId="010C3B46" w:rsidR="004D0538" w:rsidRDefault="004D0538" w:rsidP="004D0538">
      <w:pPr>
        <w:pStyle w:val="FootnoteText"/>
      </w:pPr>
      <w:r>
        <w:rPr>
          <w:rStyle w:val="FootnoteReference"/>
        </w:rPr>
        <w:footnoteRef/>
      </w:r>
      <w:r>
        <w:t xml:space="preserve"> Turner and Swaine </w:t>
      </w:r>
      <w:r w:rsidR="00F267CB">
        <w:t>(n 3).</w:t>
      </w:r>
    </w:p>
  </w:footnote>
  <w:footnote w:id="149">
    <w:p w14:paraId="0B3FAFEF" w14:textId="7F22F8C1" w:rsidR="00C22D28" w:rsidRDefault="00C22D28">
      <w:pPr>
        <w:pStyle w:val="FootnoteText"/>
      </w:pPr>
      <w:r>
        <w:rPr>
          <w:rStyle w:val="FootnoteReference"/>
        </w:rPr>
        <w:footnoteRef/>
      </w:r>
      <w:r>
        <w:t xml:space="preserve"> </w:t>
      </w:r>
      <w:proofErr w:type="spellStart"/>
      <w:r w:rsidRPr="0019005C">
        <w:t>Westendorf</w:t>
      </w:r>
      <w:proofErr w:type="spellEnd"/>
      <w:r>
        <w:t xml:space="preserve"> </w:t>
      </w:r>
      <w:r w:rsidR="00B9258E">
        <w:t>(n 113)</w:t>
      </w:r>
      <w:r w:rsidRPr="0019005C">
        <w:t xml:space="preserve"> 449</w:t>
      </w:r>
      <w:r w:rsidR="00B9258E">
        <w:t>.</w:t>
      </w:r>
    </w:p>
  </w:footnote>
  <w:footnote w:id="150">
    <w:p w14:paraId="30CC5C95" w14:textId="27CDECF7" w:rsidR="00C22D28" w:rsidRDefault="00C22D28">
      <w:pPr>
        <w:pStyle w:val="FootnoteText"/>
      </w:pPr>
      <w:r>
        <w:rPr>
          <w:rStyle w:val="FootnoteReference"/>
        </w:rPr>
        <w:footnoteRef/>
      </w:r>
      <w:r>
        <w:t xml:space="preserve"> </w:t>
      </w:r>
      <w:r w:rsidRPr="0019005C">
        <w:t>Cook</w:t>
      </w:r>
      <w:r>
        <w:t xml:space="preserve"> </w:t>
      </w:r>
      <w:r w:rsidR="00A14065">
        <w:t>(n 3</w:t>
      </w:r>
      <w:r w:rsidR="001D4066">
        <w:t>4</w:t>
      </w:r>
      <w:r w:rsidR="00A14065">
        <w:t>)</w:t>
      </w:r>
      <w:r w:rsidRPr="0019005C">
        <w:t xml:space="preserve"> 353</w:t>
      </w:r>
      <w:r w:rsidR="00A14065">
        <w:t>.</w:t>
      </w:r>
    </w:p>
  </w:footnote>
  <w:footnote w:id="151">
    <w:p w14:paraId="1E9B63F2" w14:textId="49480116" w:rsidR="00C22D28" w:rsidRDefault="00C22D28">
      <w:pPr>
        <w:pStyle w:val="FootnoteText"/>
      </w:pPr>
      <w:r>
        <w:rPr>
          <w:rStyle w:val="FootnoteReference"/>
        </w:rPr>
        <w:footnoteRef/>
      </w:r>
      <w:r>
        <w:t xml:space="preserve"> </w:t>
      </w:r>
      <w:proofErr w:type="spellStart"/>
      <w:r w:rsidRPr="0019005C">
        <w:t>Kapur</w:t>
      </w:r>
      <w:proofErr w:type="spellEnd"/>
      <w:r w:rsidRPr="0019005C">
        <w:t xml:space="preserve"> </w:t>
      </w:r>
      <w:r w:rsidR="007A013D">
        <w:t>(n 3</w:t>
      </w:r>
      <w:r w:rsidR="001D4066">
        <w:t>9</w:t>
      </w:r>
      <w:r w:rsidR="007A013D">
        <w:t>)</w:t>
      </w:r>
      <w:r>
        <w:t xml:space="preserve"> </w:t>
      </w:r>
      <w:r w:rsidRPr="0019005C">
        <w:t>5</w:t>
      </w:r>
      <w:r w:rsidR="007A013D">
        <w:t>.</w:t>
      </w:r>
    </w:p>
  </w:footnote>
  <w:footnote w:id="152">
    <w:p w14:paraId="31858FE5" w14:textId="071FEC6F" w:rsidR="00C22D28" w:rsidRDefault="00C22D28">
      <w:pPr>
        <w:pStyle w:val="FootnoteText"/>
      </w:pPr>
      <w:r>
        <w:rPr>
          <w:rStyle w:val="FootnoteReference"/>
        </w:rPr>
        <w:footnoteRef/>
      </w:r>
      <w:r>
        <w:t xml:space="preserve"> Miller </w:t>
      </w:r>
      <w:r w:rsidR="009A0109">
        <w:t xml:space="preserve">(n </w:t>
      </w:r>
      <w:r w:rsidR="00305FD1">
        <w:t>4</w:t>
      </w:r>
      <w:r w:rsidR="00EB512D">
        <w:t>5</w:t>
      </w:r>
      <w:r w:rsidR="00305FD1">
        <w:t>)</w:t>
      </w:r>
      <w:r w:rsidR="009A0109">
        <w:t xml:space="preserve"> </w:t>
      </w:r>
      <w:r>
        <w:t>40</w:t>
      </w:r>
      <w:r w:rsidR="009A0109">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39340DC0" w14:paraId="0B191620" w14:textId="77777777" w:rsidTr="39340DC0">
      <w:tc>
        <w:tcPr>
          <w:tcW w:w="3120" w:type="dxa"/>
        </w:tcPr>
        <w:p w14:paraId="3739BE01" w14:textId="6F405A69" w:rsidR="39340DC0" w:rsidRDefault="39340DC0" w:rsidP="39340DC0">
          <w:pPr>
            <w:pStyle w:val="Header"/>
            <w:ind w:left="-115"/>
          </w:pPr>
        </w:p>
      </w:tc>
      <w:tc>
        <w:tcPr>
          <w:tcW w:w="3120" w:type="dxa"/>
        </w:tcPr>
        <w:p w14:paraId="2255D91D" w14:textId="24FC43AC" w:rsidR="39340DC0" w:rsidRDefault="39340DC0" w:rsidP="39340DC0">
          <w:pPr>
            <w:pStyle w:val="Header"/>
            <w:jc w:val="center"/>
          </w:pPr>
        </w:p>
      </w:tc>
      <w:tc>
        <w:tcPr>
          <w:tcW w:w="3120" w:type="dxa"/>
        </w:tcPr>
        <w:p w14:paraId="783AA1A5" w14:textId="22DD5434" w:rsidR="39340DC0" w:rsidRDefault="39340DC0" w:rsidP="39340DC0">
          <w:pPr>
            <w:pStyle w:val="Header"/>
            <w:ind w:right="-115"/>
            <w:jc w:val="right"/>
          </w:pPr>
        </w:p>
      </w:tc>
    </w:tr>
  </w:tbl>
  <w:p w14:paraId="3E071BAE" w14:textId="0A5B9227" w:rsidR="39340DC0" w:rsidRDefault="39340DC0" w:rsidP="39340D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42BA2"/>
    <w:multiLevelType w:val="hybridMultilevel"/>
    <w:tmpl w:val="4E6AA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216517"/>
    <w:multiLevelType w:val="multilevel"/>
    <w:tmpl w:val="F5BA918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341267"/>
    <w:multiLevelType w:val="multilevel"/>
    <w:tmpl w:val="6538A54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8AC0FA9"/>
    <w:multiLevelType w:val="multilevel"/>
    <w:tmpl w:val="D7D006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C9F1024"/>
    <w:multiLevelType w:val="hybridMultilevel"/>
    <w:tmpl w:val="A6E2B1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815AF6"/>
    <w:multiLevelType w:val="hybridMultilevel"/>
    <w:tmpl w:val="AB4047F0"/>
    <w:lvl w:ilvl="0" w:tplc="FEE66C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4121C1"/>
    <w:multiLevelType w:val="hybridMultilevel"/>
    <w:tmpl w:val="91FCFC60"/>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03727E"/>
    <w:multiLevelType w:val="hybridMultilevel"/>
    <w:tmpl w:val="F6107B26"/>
    <w:lvl w:ilvl="0" w:tplc="FFE0DAAC">
      <w:start w:val="2"/>
      <w:numFmt w:val="upperLetter"/>
      <w:lvlText w:val="%1."/>
      <w:lvlJc w:val="left"/>
      <w:pPr>
        <w:ind w:left="1080" w:hanging="360"/>
      </w:pPr>
      <w:rPr>
        <w:rFonts w:hint="default"/>
        <w:b w:val="0"/>
        <w:bCs w:val="0"/>
        <w:i/>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5D1138E"/>
    <w:multiLevelType w:val="hybridMultilevel"/>
    <w:tmpl w:val="0CCAE5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A16879"/>
    <w:multiLevelType w:val="hybridMultilevel"/>
    <w:tmpl w:val="008421CE"/>
    <w:lvl w:ilvl="0" w:tplc="9980618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D5B2B9D"/>
    <w:multiLevelType w:val="hybridMultilevel"/>
    <w:tmpl w:val="77E28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5400CFC"/>
    <w:multiLevelType w:val="multilevel"/>
    <w:tmpl w:val="B100C0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7810615"/>
    <w:multiLevelType w:val="hybridMultilevel"/>
    <w:tmpl w:val="FBE066EC"/>
    <w:lvl w:ilvl="0" w:tplc="71D67B5C">
      <w:start w:val="100"/>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BC2294"/>
    <w:multiLevelType w:val="hybridMultilevel"/>
    <w:tmpl w:val="6E1EE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C3E4DB5"/>
    <w:multiLevelType w:val="hybridMultilevel"/>
    <w:tmpl w:val="76A2C7D0"/>
    <w:lvl w:ilvl="0" w:tplc="FA3A44A8">
      <w:start w:val="2"/>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D400E43"/>
    <w:multiLevelType w:val="hybridMultilevel"/>
    <w:tmpl w:val="8362E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E452697"/>
    <w:multiLevelType w:val="hybridMultilevel"/>
    <w:tmpl w:val="CA3C19FE"/>
    <w:lvl w:ilvl="0" w:tplc="8C8ECCE4">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EAC7BBF"/>
    <w:multiLevelType w:val="multilevel"/>
    <w:tmpl w:val="55E493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3734902"/>
    <w:multiLevelType w:val="multilevel"/>
    <w:tmpl w:val="0AB88FC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9" w15:restartNumberingAfterBreak="0">
    <w:nsid w:val="74885F8A"/>
    <w:multiLevelType w:val="hybridMultilevel"/>
    <w:tmpl w:val="DE8ADC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4B25A0"/>
    <w:multiLevelType w:val="hybridMultilevel"/>
    <w:tmpl w:val="0180FD7A"/>
    <w:lvl w:ilvl="0" w:tplc="3324468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A8F00B2"/>
    <w:multiLevelType w:val="hybridMultilevel"/>
    <w:tmpl w:val="E260102E"/>
    <w:lvl w:ilvl="0" w:tplc="17405AF6">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2" w15:restartNumberingAfterBreak="0">
    <w:nsid w:val="7BE001BC"/>
    <w:multiLevelType w:val="hybridMultilevel"/>
    <w:tmpl w:val="32EAAF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61251797">
    <w:abstractNumId w:val="3"/>
  </w:num>
  <w:num w:numId="2" w16cid:durableId="101608742">
    <w:abstractNumId w:val="11"/>
  </w:num>
  <w:num w:numId="3" w16cid:durableId="216014336">
    <w:abstractNumId w:val="18"/>
  </w:num>
  <w:num w:numId="4" w16cid:durableId="2078475675">
    <w:abstractNumId w:val="5"/>
  </w:num>
  <w:num w:numId="5" w16cid:durableId="1325426612">
    <w:abstractNumId w:val="20"/>
  </w:num>
  <w:num w:numId="6" w16cid:durableId="976448933">
    <w:abstractNumId w:val="6"/>
  </w:num>
  <w:num w:numId="7" w16cid:durableId="1305352231">
    <w:abstractNumId w:val="12"/>
  </w:num>
  <w:num w:numId="8" w16cid:durableId="200825877">
    <w:abstractNumId w:val="4"/>
  </w:num>
  <w:num w:numId="9" w16cid:durableId="1107309321">
    <w:abstractNumId w:val="22"/>
  </w:num>
  <w:num w:numId="10" w16cid:durableId="1440175754">
    <w:abstractNumId w:val="14"/>
  </w:num>
  <w:num w:numId="11" w16cid:durableId="1218325269">
    <w:abstractNumId w:val="16"/>
  </w:num>
  <w:num w:numId="12" w16cid:durableId="1420638371">
    <w:abstractNumId w:val="13"/>
  </w:num>
  <w:num w:numId="13" w16cid:durableId="1053574862">
    <w:abstractNumId w:val="0"/>
  </w:num>
  <w:num w:numId="14" w16cid:durableId="1761872212">
    <w:abstractNumId w:val="8"/>
  </w:num>
  <w:num w:numId="15" w16cid:durableId="1292664658">
    <w:abstractNumId w:val="9"/>
  </w:num>
  <w:num w:numId="16" w16cid:durableId="1419132268">
    <w:abstractNumId w:val="19"/>
  </w:num>
  <w:num w:numId="17" w16cid:durableId="1709527037">
    <w:abstractNumId w:val="10"/>
  </w:num>
  <w:num w:numId="18" w16cid:durableId="359091400">
    <w:abstractNumId w:val="15"/>
  </w:num>
  <w:num w:numId="19" w16cid:durableId="761297332">
    <w:abstractNumId w:val="21"/>
  </w:num>
  <w:num w:numId="20" w16cid:durableId="1594781485">
    <w:abstractNumId w:val="1"/>
  </w:num>
  <w:num w:numId="21" w16cid:durableId="2083872536">
    <w:abstractNumId w:val="17"/>
  </w:num>
  <w:num w:numId="22" w16cid:durableId="572814877">
    <w:abstractNumId w:val="2"/>
  </w:num>
  <w:num w:numId="23" w16cid:durableId="46951537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7C08"/>
    <w:rsid w:val="0000582E"/>
    <w:rsid w:val="00016748"/>
    <w:rsid w:val="00023B5C"/>
    <w:rsid w:val="00030656"/>
    <w:rsid w:val="0003628B"/>
    <w:rsid w:val="000455D1"/>
    <w:rsid w:val="000515B6"/>
    <w:rsid w:val="00051E9C"/>
    <w:rsid w:val="00052AEB"/>
    <w:rsid w:val="00054546"/>
    <w:rsid w:val="00062CA1"/>
    <w:rsid w:val="0006487C"/>
    <w:rsid w:val="000726B3"/>
    <w:rsid w:val="000735B6"/>
    <w:rsid w:val="000739E3"/>
    <w:rsid w:val="00074FB2"/>
    <w:rsid w:val="00077C87"/>
    <w:rsid w:val="000809D2"/>
    <w:rsid w:val="000828D1"/>
    <w:rsid w:val="00093C4A"/>
    <w:rsid w:val="0009592F"/>
    <w:rsid w:val="00096988"/>
    <w:rsid w:val="0009776A"/>
    <w:rsid w:val="000A4FD6"/>
    <w:rsid w:val="000A6234"/>
    <w:rsid w:val="000B0387"/>
    <w:rsid w:val="000B03D6"/>
    <w:rsid w:val="000B6515"/>
    <w:rsid w:val="000C1D5B"/>
    <w:rsid w:val="000C359C"/>
    <w:rsid w:val="000E3253"/>
    <w:rsid w:val="000E5334"/>
    <w:rsid w:val="000E56A0"/>
    <w:rsid w:val="000F3F09"/>
    <w:rsid w:val="000F6A3D"/>
    <w:rsid w:val="000F6C18"/>
    <w:rsid w:val="000F73A4"/>
    <w:rsid w:val="0010576B"/>
    <w:rsid w:val="00105CBE"/>
    <w:rsid w:val="0010727D"/>
    <w:rsid w:val="0011027D"/>
    <w:rsid w:val="00113A00"/>
    <w:rsid w:val="00115DF4"/>
    <w:rsid w:val="00123FC2"/>
    <w:rsid w:val="00127202"/>
    <w:rsid w:val="00127511"/>
    <w:rsid w:val="00127F73"/>
    <w:rsid w:val="00136BE8"/>
    <w:rsid w:val="0014095C"/>
    <w:rsid w:val="00147EE7"/>
    <w:rsid w:val="001535B3"/>
    <w:rsid w:val="00167031"/>
    <w:rsid w:val="001758A5"/>
    <w:rsid w:val="00175A44"/>
    <w:rsid w:val="00176A52"/>
    <w:rsid w:val="00177A10"/>
    <w:rsid w:val="00177B9E"/>
    <w:rsid w:val="00187196"/>
    <w:rsid w:val="0018787F"/>
    <w:rsid w:val="001910DC"/>
    <w:rsid w:val="00193F4F"/>
    <w:rsid w:val="0019614D"/>
    <w:rsid w:val="001A0A5A"/>
    <w:rsid w:val="001A2A3E"/>
    <w:rsid w:val="001B2767"/>
    <w:rsid w:val="001B5DCD"/>
    <w:rsid w:val="001C1944"/>
    <w:rsid w:val="001C1AFB"/>
    <w:rsid w:val="001C413D"/>
    <w:rsid w:val="001D0027"/>
    <w:rsid w:val="001D4066"/>
    <w:rsid w:val="001E0D3E"/>
    <w:rsid w:val="001E2986"/>
    <w:rsid w:val="001E79F1"/>
    <w:rsid w:val="001E7EFD"/>
    <w:rsid w:val="001F0368"/>
    <w:rsid w:val="001F17A1"/>
    <w:rsid w:val="001F3458"/>
    <w:rsid w:val="001F4F35"/>
    <w:rsid w:val="001F740C"/>
    <w:rsid w:val="001F75DF"/>
    <w:rsid w:val="001F7D15"/>
    <w:rsid w:val="00200583"/>
    <w:rsid w:val="002032CD"/>
    <w:rsid w:val="0020445A"/>
    <w:rsid w:val="00217ECB"/>
    <w:rsid w:val="0022059A"/>
    <w:rsid w:val="00227D0E"/>
    <w:rsid w:val="00236453"/>
    <w:rsid w:val="00240E11"/>
    <w:rsid w:val="002456DF"/>
    <w:rsid w:val="00245A02"/>
    <w:rsid w:val="0025264A"/>
    <w:rsid w:val="0025445E"/>
    <w:rsid w:val="002579F7"/>
    <w:rsid w:val="002754BD"/>
    <w:rsid w:val="00276C24"/>
    <w:rsid w:val="002824A3"/>
    <w:rsid w:val="002835D5"/>
    <w:rsid w:val="00285EBC"/>
    <w:rsid w:val="002870D5"/>
    <w:rsid w:val="0028757B"/>
    <w:rsid w:val="00294579"/>
    <w:rsid w:val="002B2DA5"/>
    <w:rsid w:val="002C2210"/>
    <w:rsid w:val="002C586E"/>
    <w:rsid w:val="002C63C4"/>
    <w:rsid w:val="002D5564"/>
    <w:rsid w:val="002D736A"/>
    <w:rsid w:val="002D78F1"/>
    <w:rsid w:val="002E480A"/>
    <w:rsid w:val="002E666A"/>
    <w:rsid w:val="002F160C"/>
    <w:rsid w:val="002F1A30"/>
    <w:rsid w:val="002F6CE9"/>
    <w:rsid w:val="00302C4B"/>
    <w:rsid w:val="00305B48"/>
    <w:rsid w:val="00305FD1"/>
    <w:rsid w:val="00306B26"/>
    <w:rsid w:val="003101BD"/>
    <w:rsid w:val="00315A40"/>
    <w:rsid w:val="00316EA6"/>
    <w:rsid w:val="00317314"/>
    <w:rsid w:val="00322405"/>
    <w:rsid w:val="003227C6"/>
    <w:rsid w:val="0032353E"/>
    <w:rsid w:val="00327F03"/>
    <w:rsid w:val="003310E8"/>
    <w:rsid w:val="0033131F"/>
    <w:rsid w:val="0033202E"/>
    <w:rsid w:val="00336201"/>
    <w:rsid w:val="003365D1"/>
    <w:rsid w:val="00337294"/>
    <w:rsid w:val="0034523B"/>
    <w:rsid w:val="00353171"/>
    <w:rsid w:val="00357B0E"/>
    <w:rsid w:val="003641AA"/>
    <w:rsid w:val="00374D8C"/>
    <w:rsid w:val="003750C6"/>
    <w:rsid w:val="00377D9F"/>
    <w:rsid w:val="00381940"/>
    <w:rsid w:val="00390885"/>
    <w:rsid w:val="003B1CC4"/>
    <w:rsid w:val="003C3279"/>
    <w:rsid w:val="003C406D"/>
    <w:rsid w:val="003C5322"/>
    <w:rsid w:val="003C62F5"/>
    <w:rsid w:val="003D2409"/>
    <w:rsid w:val="003D2C02"/>
    <w:rsid w:val="003D462A"/>
    <w:rsid w:val="003D4F74"/>
    <w:rsid w:val="003E00EE"/>
    <w:rsid w:val="003E161A"/>
    <w:rsid w:val="003E651D"/>
    <w:rsid w:val="003F0539"/>
    <w:rsid w:val="003F54B3"/>
    <w:rsid w:val="003F5D3D"/>
    <w:rsid w:val="003F6F0D"/>
    <w:rsid w:val="0040448A"/>
    <w:rsid w:val="00414A09"/>
    <w:rsid w:val="0041523B"/>
    <w:rsid w:val="00415315"/>
    <w:rsid w:val="00422824"/>
    <w:rsid w:val="00425DF7"/>
    <w:rsid w:val="0043031F"/>
    <w:rsid w:val="004407FF"/>
    <w:rsid w:val="0044783A"/>
    <w:rsid w:val="00453B6E"/>
    <w:rsid w:val="0045799C"/>
    <w:rsid w:val="0047076F"/>
    <w:rsid w:val="00471A6D"/>
    <w:rsid w:val="00473FF8"/>
    <w:rsid w:val="00481304"/>
    <w:rsid w:val="00494CEE"/>
    <w:rsid w:val="004B689F"/>
    <w:rsid w:val="004C4A47"/>
    <w:rsid w:val="004D0538"/>
    <w:rsid w:val="004D26A9"/>
    <w:rsid w:val="004F12FB"/>
    <w:rsid w:val="004F289F"/>
    <w:rsid w:val="004F54AD"/>
    <w:rsid w:val="004F6EC2"/>
    <w:rsid w:val="005014BC"/>
    <w:rsid w:val="005018B7"/>
    <w:rsid w:val="0052320F"/>
    <w:rsid w:val="005259A6"/>
    <w:rsid w:val="0053382F"/>
    <w:rsid w:val="00542D33"/>
    <w:rsid w:val="00547A41"/>
    <w:rsid w:val="00550D4F"/>
    <w:rsid w:val="005531A5"/>
    <w:rsid w:val="005554E4"/>
    <w:rsid w:val="00555EB5"/>
    <w:rsid w:val="00556729"/>
    <w:rsid w:val="00587925"/>
    <w:rsid w:val="005A3C50"/>
    <w:rsid w:val="005A655D"/>
    <w:rsid w:val="005A69AD"/>
    <w:rsid w:val="005B391E"/>
    <w:rsid w:val="005B428D"/>
    <w:rsid w:val="005C0641"/>
    <w:rsid w:val="005C22E3"/>
    <w:rsid w:val="005C48FE"/>
    <w:rsid w:val="005C4BAD"/>
    <w:rsid w:val="005C6704"/>
    <w:rsid w:val="005D0222"/>
    <w:rsid w:val="005D55D7"/>
    <w:rsid w:val="005D78AB"/>
    <w:rsid w:val="005E0C9E"/>
    <w:rsid w:val="005F0A3D"/>
    <w:rsid w:val="005F742A"/>
    <w:rsid w:val="006046D0"/>
    <w:rsid w:val="006103E1"/>
    <w:rsid w:val="00615AC9"/>
    <w:rsid w:val="00617A0C"/>
    <w:rsid w:val="00620DA3"/>
    <w:rsid w:val="00623065"/>
    <w:rsid w:val="00627756"/>
    <w:rsid w:val="00630592"/>
    <w:rsid w:val="00630A00"/>
    <w:rsid w:val="006528CA"/>
    <w:rsid w:val="00654DCE"/>
    <w:rsid w:val="006559BE"/>
    <w:rsid w:val="00671624"/>
    <w:rsid w:val="00672BAD"/>
    <w:rsid w:val="00674DB8"/>
    <w:rsid w:val="006979B9"/>
    <w:rsid w:val="006A0863"/>
    <w:rsid w:val="006A1BB2"/>
    <w:rsid w:val="006B01F1"/>
    <w:rsid w:val="006B0EF7"/>
    <w:rsid w:val="006B1A4E"/>
    <w:rsid w:val="006B5B40"/>
    <w:rsid w:val="006C362F"/>
    <w:rsid w:val="006D2912"/>
    <w:rsid w:val="006D611B"/>
    <w:rsid w:val="006D61B8"/>
    <w:rsid w:val="006D6706"/>
    <w:rsid w:val="006D7097"/>
    <w:rsid w:val="006E1D1F"/>
    <w:rsid w:val="006E3759"/>
    <w:rsid w:val="006E4806"/>
    <w:rsid w:val="006E6B73"/>
    <w:rsid w:val="006F42EE"/>
    <w:rsid w:val="006F5908"/>
    <w:rsid w:val="006F7762"/>
    <w:rsid w:val="00702D0D"/>
    <w:rsid w:val="00707839"/>
    <w:rsid w:val="00711AF8"/>
    <w:rsid w:val="00713C77"/>
    <w:rsid w:val="00714D59"/>
    <w:rsid w:val="00716635"/>
    <w:rsid w:val="00716FD6"/>
    <w:rsid w:val="00720128"/>
    <w:rsid w:val="00725609"/>
    <w:rsid w:val="00726944"/>
    <w:rsid w:val="00730503"/>
    <w:rsid w:val="00734DFF"/>
    <w:rsid w:val="007374F6"/>
    <w:rsid w:val="00760B98"/>
    <w:rsid w:val="007630A9"/>
    <w:rsid w:val="00770996"/>
    <w:rsid w:val="00772661"/>
    <w:rsid w:val="00775346"/>
    <w:rsid w:val="00776967"/>
    <w:rsid w:val="00783A82"/>
    <w:rsid w:val="0078530F"/>
    <w:rsid w:val="007901D1"/>
    <w:rsid w:val="00791D7E"/>
    <w:rsid w:val="007927EA"/>
    <w:rsid w:val="007A013D"/>
    <w:rsid w:val="007A1323"/>
    <w:rsid w:val="007A14F1"/>
    <w:rsid w:val="007B0378"/>
    <w:rsid w:val="007D161B"/>
    <w:rsid w:val="007E474E"/>
    <w:rsid w:val="007E4A76"/>
    <w:rsid w:val="007E58C9"/>
    <w:rsid w:val="007E5A45"/>
    <w:rsid w:val="008031DC"/>
    <w:rsid w:val="00807C51"/>
    <w:rsid w:val="0082408C"/>
    <w:rsid w:val="00826637"/>
    <w:rsid w:val="00830DB5"/>
    <w:rsid w:val="00836FBC"/>
    <w:rsid w:val="00844F5B"/>
    <w:rsid w:val="00850971"/>
    <w:rsid w:val="00853B43"/>
    <w:rsid w:val="00855BF2"/>
    <w:rsid w:val="008574B5"/>
    <w:rsid w:val="0086005A"/>
    <w:rsid w:val="00860F9C"/>
    <w:rsid w:val="0086122E"/>
    <w:rsid w:val="00870ED3"/>
    <w:rsid w:val="008741AA"/>
    <w:rsid w:val="00874F62"/>
    <w:rsid w:val="0087638E"/>
    <w:rsid w:val="0087684F"/>
    <w:rsid w:val="008817E4"/>
    <w:rsid w:val="00883A18"/>
    <w:rsid w:val="0088596A"/>
    <w:rsid w:val="00886382"/>
    <w:rsid w:val="00887AAE"/>
    <w:rsid w:val="00887F2C"/>
    <w:rsid w:val="0089572B"/>
    <w:rsid w:val="008A533C"/>
    <w:rsid w:val="008A57C1"/>
    <w:rsid w:val="008A7FAA"/>
    <w:rsid w:val="008B0136"/>
    <w:rsid w:val="008B046C"/>
    <w:rsid w:val="008C09A3"/>
    <w:rsid w:val="008C0E9F"/>
    <w:rsid w:val="008C217B"/>
    <w:rsid w:val="008C34F3"/>
    <w:rsid w:val="008D09D6"/>
    <w:rsid w:val="008D0A1A"/>
    <w:rsid w:val="008D0C6A"/>
    <w:rsid w:val="008F4EF6"/>
    <w:rsid w:val="00900F7A"/>
    <w:rsid w:val="009040E3"/>
    <w:rsid w:val="00907F70"/>
    <w:rsid w:val="009111CE"/>
    <w:rsid w:val="0091465D"/>
    <w:rsid w:val="00916A5D"/>
    <w:rsid w:val="00920514"/>
    <w:rsid w:val="00921AD2"/>
    <w:rsid w:val="00924D5D"/>
    <w:rsid w:val="009311E9"/>
    <w:rsid w:val="0093185E"/>
    <w:rsid w:val="009444DD"/>
    <w:rsid w:val="00947C5A"/>
    <w:rsid w:val="00954C7F"/>
    <w:rsid w:val="0095604D"/>
    <w:rsid w:val="00963463"/>
    <w:rsid w:val="0097316A"/>
    <w:rsid w:val="00973398"/>
    <w:rsid w:val="009740D4"/>
    <w:rsid w:val="00975886"/>
    <w:rsid w:val="00980B5C"/>
    <w:rsid w:val="00985577"/>
    <w:rsid w:val="009907AC"/>
    <w:rsid w:val="0099495B"/>
    <w:rsid w:val="009A0109"/>
    <w:rsid w:val="009A0839"/>
    <w:rsid w:val="009A510E"/>
    <w:rsid w:val="009A5825"/>
    <w:rsid w:val="009C24E1"/>
    <w:rsid w:val="009C3300"/>
    <w:rsid w:val="009C706A"/>
    <w:rsid w:val="009D0C4C"/>
    <w:rsid w:val="009D4BDA"/>
    <w:rsid w:val="009E222E"/>
    <w:rsid w:val="009E633C"/>
    <w:rsid w:val="009E6D1E"/>
    <w:rsid w:val="009F5980"/>
    <w:rsid w:val="00A046E4"/>
    <w:rsid w:val="00A04F14"/>
    <w:rsid w:val="00A0760A"/>
    <w:rsid w:val="00A130BB"/>
    <w:rsid w:val="00A138E0"/>
    <w:rsid w:val="00A14065"/>
    <w:rsid w:val="00A140CE"/>
    <w:rsid w:val="00A14491"/>
    <w:rsid w:val="00A230F2"/>
    <w:rsid w:val="00A24F18"/>
    <w:rsid w:val="00A2608E"/>
    <w:rsid w:val="00A26D4C"/>
    <w:rsid w:val="00A26F3C"/>
    <w:rsid w:val="00A41356"/>
    <w:rsid w:val="00A4231E"/>
    <w:rsid w:val="00A446CA"/>
    <w:rsid w:val="00A459B7"/>
    <w:rsid w:val="00A51B50"/>
    <w:rsid w:val="00A56238"/>
    <w:rsid w:val="00A5671F"/>
    <w:rsid w:val="00A57C7C"/>
    <w:rsid w:val="00A710DF"/>
    <w:rsid w:val="00A72A2B"/>
    <w:rsid w:val="00A7393A"/>
    <w:rsid w:val="00A76CEE"/>
    <w:rsid w:val="00A84C42"/>
    <w:rsid w:val="00A85012"/>
    <w:rsid w:val="00A85900"/>
    <w:rsid w:val="00A86C71"/>
    <w:rsid w:val="00A94E58"/>
    <w:rsid w:val="00A95430"/>
    <w:rsid w:val="00AA3540"/>
    <w:rsid w:val="00AA39FB"/>
    <w:rsid w:val="00AA5000"/>
    <w:rsid w:val="00AA5E36"/>
    <w:rsid w:val="00AB10EF"/>
    <w:rsid w:val="00AB2DC7"/>
    <w:rsid w:val="00AC1306"/>
    <w:rsid w:val="00AC189C"/>
    <w:rsid w:val="00AC3722"/>
    <w:rsid w:val="00AD4C40"/>
    <w:rsid w:val="00AD5C32"/>
    <w:rsid w:val="00AF2A97"/>
    <w:rsid w:val="00AF3B0D"/>
    <w:rsid w:val="00AF46A1"/>
    <w:rsid w:val="00AF6DEA"/>
    <w:rsid w:val="00AF7107"/>
    <w:rsid w:val="00B0060E"/>
    <w:rsid w:val="00B10075"/>
    <w:rsid w:val="00B10F39"/>
    <w:rsid w:val="00B119F9"/>
    <w:rsid w:val="00B1245A"/>
    <w:rsid w:val="00B210D3"/>
    <w:rsid w:val="00B22788"/>
    <w:rsid w:val="00B26F07"/>
    <w:rsid w:val="00B35162"/>
    <w:rsid w:val="00B41775"/>
    <w:rsid w:val="00B437EC"/>
    <w:rsid w:val="00B46A29"/>
    <w:rsid w:val="00B4730B"/>
    <w:rsid w:val="00B50FB8"/>
    <w:rsid w:val="00B55307"/>
    <w:rsid w:val="00B637CF"/>
    <w:rsid w:val="00B65B59"/>
    <w:rsid w:val="00B725C8"/>
    <w:rsid w:val="00B76AC1"/>
    <w:rsid w:val="00B81C4F"/>
    <w:rsid w:val="00B856DF"/>
    <w:rsid w:val="00B90C9A"/>
    <w:rsid w:val="00B9258E"/>
    <w:rsid w:val="00B93E31"/>
    <w:rsid w:val="00B97FC8"/>
    <w:rsid w:val="00BA392B"/>
    <w:rsid w:val="00BB3683"/>
    <w:rsid w:val="00BB65C5"/>
    <w:rsid w:val="00BC3596"/>
    <w:rsid w:val="00BC4AC9"/>
    <w:rsid w:val="00BC60B4"/>
    <w:rsid w:val="00BC69D7"/>
    <w:rsid w:val="00BE0518"/>
    <w:rsid w:val="00BE32ED"/>
    <w:rsid w:val="00BF1128"/>
    <w:rsid w:val="00BF1E4B"/>
    <w:rsid w:val="00C13B06"/>
    <w:rsid w:val="00C21F8F"/>
    <w:rsid w:val="00C22D28"/>
    <w:rsid w:val="00C25BD6"/>
    <w:rsid w:val="00C262BE"/>
    <w:rsid w:val="00C34472"/>
    <w:rsid w:val="00C34504"/>
    <w:rsid w:val="00C358FF"/>
    <w:rsid w:val="00C377A9"/>
    <w:rsid w:val="00C5184D"/>
    <w:rsid w:val="00C51A4A"/>
    <w:rsid w:val="00C51F05"/>
    <w:rsid w:val="00C54B85"/>
    <w:rsid w:val="00C55481"/>
    <w:rsid w:val="00C5551F"/>
    <w:rsid w:val="00C61834"/>
    <w:rsid w:val="00C66395"/>
    <w:rsid w:val="00C67778"/>
    <w:rsid w:val="00C748AF"/>
    <w:rsid w:val="00C82C4A"/>
    <w:rsid w:val="00C850EE"/>
    <w:rsid w:val="00C91955"/>
    <w:rsid w:val="00C931FA"/>
    <w:rsid w:val="00C940E4"/>
    <w:rsid w:val="00C973C1"/>
    <w:rsid w:val="00CA5C80"/>
    <w:rsid w:val="00CB24C1"/>
    <w:rsid w:val="00CB444E"/>
    <w:rsid w:val="00CC23BE"/>
    <w:rsid w:val="00CC585A"/>
    <w:rsid w:val="00CC740A"/>
    <w:rsid w:val="00CE049B"/>
    <w:rsid w:val="00CE69E6"/>
    <w:rsid w:val="00CF14C6"/>
    <w:rsid w:val="00D039CA"/>
    <w:rsid w:val="00D06C4D"/>
    <w:rsid w:val="00D100C9"/>
    <w:rsid w:val="00D107C5"/>
    <w:rsid w:val="00D12080"/>
    <w:rsid w:val="00D15164"/>
    <w:rsid w:val="00D174F0"/>
    <w:rsid w:val="00D21B05"/>
    <w:rsid w:val="00D21CBE"/>
    <w:rsid w:val="00D26CFF"/>
    <w:rsid w:val="00D31331"/>
    <w:rsid w:val="00D35BD9"/>
    <w:rsid w:val="00D370DC"/>
    <w:rsid w:val="00D37B74"/>
    <w:rsid w:val="00D46C97"/>
    <w:rsid w:val="00D524BC"/>
    <w:rsid w:val="00D57EC2"/>
    <w:rsid w:val="00D61C04"/>
    <w:rsid w:val="00D668A6"/>
    <w:rsid w:val="00D70253"/>
    <w:rsid w:val="00D75402"/>
    <w:rsid w:val="00D76BF8"/>
    <w:rsid w:val="00D81933"/>
    <w:rsid w:val="00D828DB"/>
    <w:rsid w:val="00D916C4"/>
    <w:rsid w:val="00D94E6F"/>
    <w:rsid w:val="00D9536E"/>
    <w:rsid w:val="00DB2386"/>
    <w:rsid w:val="00DC0676"/>
    <w:rsid w:val="00DC1A0A"/>
    <w:rsid w:val="00DC1D64"/>
    <w:rsid w:val="00DC7738"/>
    <w:rsid w:val="00DC79BB"/>
    <w:rsid w:val="00DD28C8"/>
    <w:rsid w:val="00DF07FB"/>
    <w:rsid w:val="00DF3C6C"/>
    <w:rsid w:val="00DF4B00"/>
    <w:rsid w:val="00E0028D"/>
    <w:rsid w:val="00E01249"/>
    <w:rsid w:val="00E03900"/>
    <w:rsid w:val="00E05D37"/>
    <w:rsid w:val="00E218DC"/>
    <w:rsid w:val="00E543CE"/>
    <w:rsid w:val="00E57F54"/>
    <w:rsid w:val="00E610AD"/>
    <w:rsid w:val="00E64B67"/>
    <w:rsid w:val="00E72856"/>
    <w:rsid w:val="00E75271"/>
    <w:rsid w:val="00E77C08"/>
    <w:rsid w:val="00E81628"/>
    <w:rsid w:val="00E826C1"/>
    <w:rsid w:val="00E82E24"/>
    <w:rsid w:val="00E86D64"/>
    <w:rsid w:val="00E90C14"/>
    <w:rsid w:val="00E95C0F"/>
    <w:rsid w:val="00EA4AA7"/>
    <w:rsid w:val="00EA546C"/>
    <w:rsid w:val="00EA5AE2"/>
    <w:rsid w:val="00EB512D"/>
    <w:rsid w:val="00EC4828"/>
    <w:rsid w:val="00EC4E48"/>
    <w:rsid w:val="00EC4E84"/>
    <w:rsid w:val="00EC6F08"/>
    <w:rsid w:val="00ED0F19"/>
    <w:rsid w:val="00ED5AD4"/>
    <w:rsid w:val="00EF15D9"/>
    <w:rsid w:val="00F02312"/>
    <w:rsid w:val="00F043FB"/>
    <w:rsid w:val="00F06A7B"/>
    <w:rsid w:val="00F10984"/>
    <w:rsid w:val="00F1159B"/>
    <w:rsid w:val="00F12771"/>
    <w:rsid w:val="00F15FE4"/>
    <w:rsid w:val="00F2100D"/>
    <w:rsid w:val="00F21183"/>
    <w:rsid w:val="00F22E80"/>
    <w:rsid w:val="00F23666"/>
    <w:rsid w:val="00F23FDB"/>
    <w:rsid w:val="00F267CB"/>
    <w:rsid w:val="00F27C27"/>
    <w:rsid w:val="00F3087D"/>
    <w:rsid w:val="00F30885"/>
    <w:rsid w:val="00F32B99"/>
    <w:rsid w:val="00F340B0"/>
    <w:rsid w:val="00F366A5"/>
    <w:rsid w:val="00F372A8"/>
    <w:rsid w:val="00F3780B"/>
    <w:rsid w:val="00F37D63"/>
    <w:rsid w:val="00F402D0"/>
    <w:rsid w:val="00F42C0C"/>
    <w:rsid w:val="00F4610A"/>
    <w:rsid w:val="00F47AA1"/>
    <w:rsid w:val="00F5256A"/>
    <w:rsid w:val="00F526BA"/>
    <w:rsid w:val="00F5569D"/>
    <w:rsid w:val="00F64808"/>
    <w:rsid w:val="00F73664"/>
    <w:rsid w:val="00F751DF"/>
    <w:rsid w:val="00F77A6F"/>
    <w:rsid w:val="00F811E6"/>
    <w:rsid w:val="00F8161C"/>
    <w:rsid w:val="00F821B8"/>
    <w:rsid w:val="00F84368"/>
    <w:rsid w:val="00F84679"/>
    <w:rsid w:val="00F859D9"/>
    <w:rsid w:val="00FA03F6"/>
    <w:rsid w:val="00FA609A"/>
    <w:rsid w:val="00FB2869"/>
    <w:rsid w:val="00FB761F"/>
    <w:rsid w:val="00FB7684"/>
    <w:rsid w:val="00FC2F07"/>
    <w:rsid w:val="00FC3052"/>
    <w:rsid w:val="00FC7DB3"/>
    <w:rsid w:val="00FD4A0E"/>
    <w:rsid w:val="00FE1CFE"/>
    <w:rsid w:val="00FE4370"/>
    <w:rsid w:val="00FE5F3F"/>
    <w:rsid w:val="00FE791F"/>
    <w:rsid w:val="00FF7897"/>
    <w:rsid w:val="00FF7EA0"/>
    <w:rsid w:val="1B9A11F3"/>
    <w:rsid w:val="2FE8927B"/>
    <w:rsid w:val="39340DC0"/>
    <w:rsid w:val="3BB1B761"/>
    <w:rsid w:val="725F1C70"/>
  </w:rsids>
  <m:mathPr>
    <m:mathFont m:val="Cambria Math"/>
    <m:brkBin m:val="before"/>
    <m:brkBinSub m:val="--"/>
    <m:smallFrac m:val="0"/>
    <m:dispDef/>
    <m:lMargin m:val="0"/>
    <m:rMargin m:val="0"/>
    <m:defJc m:val="centerGroup"/>
    <m:wrapIndent m:val="1440"/>
    <m:intLim m:val="subSup"/>
    <m:naryLim m:val="undOvr"/>
  </m:mathPr>
  <w:themeFontLang w:val="en-GB" w:bidi="ug-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1234D4"/>
  <w15:docId w15:val="{349A3653-729C-9940-9619-F4BF7F42AD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ug-CN"/>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300"/>
    <w:pPr>
      <w:spacing w:line="240" w:lineRule="auto"/>
    </w:pPr>
    <w:rPr>
      <w:rFonts w:ascii="Times New Roman" w:eastAsia="Times New Roman" w:hAnsi="Times New Roman" w:cs="Times New Roman"/>
      <w:sz w:val="24"/>
      <w:szCs w:val="24"/>
      <w:lang w:val="en-GB"/>
    </w:rPr>
  </w:style>
  <w:style w:type="paragraph" w:styleId="Heading1">
    <w:name w:val="heading 1"/>
    <w:basedOn w:val="Normal"/>
    <w:next w:val="Normal"/>
    <w:uiPriority w:val="9"/>
    <w:qFormat/>
    <w:rsid w:val="007901D1"/>
    <w:pPr>
      <w:keepNext/>
      <w:keepLines/>
      <w:spacing w:after="120"/>
      <w:jc w:val="center"/>
      <w:outlineLvl w:val="0"/>
    </w:pPr>
    <w:rPr>
      <w:szCs w:val="40"/>
    </w:rPr>
  </w:style>
  <w:style w:type="paragraph" w:styleId="Heading2">
    <w:name w:val="heading 2"/>
    <w:basedOn w:val="Normal"/>
    <w:next w:val="Normal"/>
    <w:uiPriority w:val="9"/>
    <w:unhideWhenUsed/>
    <w:qFormat/>
    <w:rsid w:val="007901D1"/>
    <w:pPr>
      <w:keepNext/>
      <w:keepLines/>
      <w:spacing w:after="120"/>
      <w:jc w:val="center"/>
      <w:outlineLvl w:val="1"/>
    </w:pPr>
    <w:rPr>
      <w:i/>
      <w:szCs w:val="32"/>
    </w:rPr>
  </w:style>
  <w:style w:type="paragraph" w:styleId="Heading3">
    <w:name w:val="heading 3"/>
    <w:basedOn w:val="Normal"/>
    <w:next w:val="Normal"/>
    <w:uiPriority w:val="9"/>
    <w:unhideWhenUsed/>
    <w:qFormat/>
    <w:rsid w:val="004F12FB"/>
    <w:pPr>
      <w:keepNext/>
      <w:keepLines/>
      <w:spacing w:after="120"/>
      <w:jc w:val="center"/>
      <w:outlineLvl w:val="2"/>
    </w:pPr>
    <w:rPr>
      <w:i/>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A5E36"/>
    <w:rPr>
      <w:sz w:val="18"/>
      <w:szCs w:val="18"/>
    </w:rPr>
  </w:style>
  <w:style w:type="character" w:customStyle="1" w:styleId="BalloonTextChar">
    <w:name w:val="Balloon Text Char"/>
    <w:basedOn w:val="DefaultParagraphFont"/>
    <w:link w:val="BalloonText"/>
    <w:uiPriority w:val="99"/>
    <w:semiHidden/>
    <w:rsid w:val="00AA5E36"/>
    <w:rPr>
      <w:rFonts w:ascii="Times New Roman" w:hAnsi="Times New Roman" w:cs="Times New Roman"/>
      <w:sz w:val="18"/>
      <w:szCs w:val="18"/>
    </w:rPr>
  </w:style>
  <w:style w:type="paragraph" w:styleId="Footer">
    <w:name w:val="footer"/>
    <w:basedOn w:val="Normal"/>
    <w:link w:val="FooterChar"/>
    <w:uiPriority w:val="99"/>
    <w:unhideWhenUsed/>
    <w:rsid w:val="003F5D3D"/>
    <w:pPr>
      <w:tabs>
        <w:tab w:val="center" w:pos="4680"/>
        <w:tab w:val="right" w:pos="9360"/>
      </w:tabs>
    </w:pPr>
  </w:style>
  <w:style w:type="character" w:customStyle="1" w:styleId="FooterChar">
    <w:name w:val="Footer Char"/>
    <w:basedOn w:val="DefaultParagraphFont"/>
    <w:link w:val="Footer"/>
    <w:uiPriority w:val="99"/>
    <w:rsid w:val="003F5D3D"/>
  </w:style>
  <w:style w:type="character" w:styleId="PageNumber">
    <w:name w:val="page number"/>
    <w:basedOn w:val="DefaultParagraphFont"/>
    <w:uiPriority w:val="99"/>
    <w:semiHidden/>
    <w:unhideWhenUsed/>
    <w:rsid w:val="003F5D3D"/>
  </w:style>
  <w:style w:type="paragraph" w:styleId="Header">
    <w:name w:val="header"/>
    <w:basedOn w:val="Normal"/>
    <w:link w:val="HeaderChar"/>
    <w:uiPriority w:val="99"/>
    <w:unhideWhenUsed/>
    <w:rsid w:val="003F5D3D"/>
    <w:pPr>
      <w:tabs>
        <w:tab w:val="center" w:pos="4680"/>
        <w:tab w:val="right" w:pos="9360"/>
      </w:tabs>
    </w:pPr>
  </w:style>
  <w:style w:type="character" w:customStyle="1" w:styleId="HeaderChar">
    <w:name w:val="Header Char"/>
    <w:basedOn w:val="DefaultParagraphFont"/>
    <w:link w:val="Header"/>
    <w:uiPriority w:val="99"/>
    <w:rsid w:val="003F5D3D"/>
  </w:style>
  <w:style w:type="paragraph" w:styleId="Revision">
    <w:name w:val="Revision"/>
    <w:hidden/>
    <w:uiPriority w:val="99"/>
    <w:semiHidden/>
    <w:rsid w:val="00E72856"/>
    <w:pPr>
      <w:spacing w:line="240" w:lineRule="auto"/>
    </w:pPr>
  </w:style>
  <w:style w:type="paragraph" w:styleId="ListParagraph">
    <w:name w:val="List Paragraph"/>
    <w:basedOn w:val="Normal"/>
    <w:uiPriority w:val="34"/>
    <w:qFormat/>
    <w:rsid w:val="00E72856"/>
    <w:pPr>
      <w:ind w:left="720"/>
      <w:contextualSpacing/>
    </w:pPr>
  </w:style>
  <w:style w:type="paragraph" w:styleId="FootnoteText">
    <w:name w:val="footnote text"/>
    <w:basedOn w:val="Normal"/>
    <w:link w:val="FootnoteTextChar"/>
    <w:uiPriority w:val="99"/>
    <w:unhideWhenUsed/>
    <w:rsid w:val="00FF7897"/>
    <w:rPr>
      <w:sz w:val="20"/>
      <w:szCs w:val="20"/>
    </w:rPr>
  </w:style>
  <w:style w:type="character" w:customStyle="1" w:styleId="FootnoteTextChar">
    <w:name w:val="Footnote Text Char"/>
    <w:basedOn w:val="DefaultParagraphFont"/>
    <w:link w:val="FootnoteText"/>
    <w:uiPriority w:val="99"/>
    <w:rsid w:val="00FF7897"/>
    <w:rPr>
      <w:sz w:val="20"/>
      <w:szCs w:val="20"/>
    </w:rPr>
  </w:style>
  <w:style w:type="character" w:styleId="FootnoteReference">
    <w:name w:val="footnote reference"/>
    <w:basedOn w:val="DefaultParagraphFont"/>
    <w:uiPriority w:val="99"/>
    <w:unhideWhenUsed/>
    <w:rsid w:val="00FF7897"/>
    <w:rPr>
      <w:vertAlign w:val="superscript"/>
    </w:rPr>
  </w:style>
  <w:style w:type="character" w:styleId="Hyperlink">
    <w:name w:val="Hyperlink"/>
    <w:basedOn w:val="DefaultParagraphFont"/>
    <w:uiPriority w:val="99"/>
    <w:unhideWhenUsed/>
    <w:rsid w:val="00BF1E4B"/>
    <w:rPr>
      <w:color w:val="0000FF" w:themeColor="hyperlink"/>
      <w:u w:val="single"/>
    </w:rPr>
  </w:style>
  <w:style w:type="character" w:styleId="UnresolvedMention">
    <w:name w:val="Unresolved Mention"/>
    <w:basedOn w:val="DefaultParagraphFont"/>
    <w:uiPriority w:val="99"/>
    <w:semiHidden/>
    <w:unhideWhenUsed/>
    <w:rsid w:val="00BF1E4B"/>
    <w:rPr>
      <w:color w:val="605E5C"/>
      <w:shd w:val="clear" w:color="auto" w:fill="E1DFDD"/>
    </w:rPr>
  </w:style>
  <w:style w:type="paragraph" w:styleId="NoSpacing">
    <w:name w:val="No Spacing"/>
    <w:uiPriority w:val="1"/>
    <w:qFormat/>
    <w:rsid w:val="006E4806"/>
    <w:pPr>
      <w:spacing w:line="240" w:lineRule="auto"/>
    </w:pPr>
    <w:rPr>
      <w:rFonts w:ascii="Times New Roman" w:eastAsia="Times New Roman" w:hAnsi="Times New Roman" w:cs="Times New Roman"/>
      <w:sz w:val="24"/>
      <w:szCs w:val="24"/>
      <w:lang w:val="en-GB"/>
    </w:rPr>
  </w:style>
  <w:style w:type="paragraph" w:styleId="NormalWeb">
    <w:name w:val="Normal (Web)"/>
    <w:basedOn w:val="Normal"/>
    <w:link w:val="NormalWebChar"/>
    <w:uiPriority w:val="99"/>
    <w:unhideWhenUsed/>
    <w:rsid w:val="00AB10EF"/>
  </w:style>
  <w:style w:type="character" w:customStyle="1" w:styleId="NormalWebChar">
    <w:name w:val="Normal (Web) Char"/>
    <w:basedOn w:val="DefaultParagraphFont"/>
    <w:link w:val="NormalWeb"/>
    <w:uiPriority w:val="99"/>
    <w:rsid w:val="00E86D64"/>
    <w:rPr>
      <w:rFonts w:ascii="Times New Roman" w:eastAsia="Times New Roman" w:hAnsi="Times New Roman" w:cs="Times New Roman"/>
      <w:sz w:val="24"/>
      <w:szCs w:val="24"/>
      <w:lang w:val="en-GB"/>
    </w:rPr>
  </w:style>
  <w:style w:type="paragraph" w:styleId="CommentSubject">
    <w:name w:val="annotation subject"/>
    <w:basedOn w:val="CommentText"/>
    <w:next w:val="CommentText"/>
    <w:link w:val="CommentSubjectChar"/>
    <w:uiPriority w:val="99"/>
    <w:semiHidden/>
    <w:unhideWhenUsed/>
    <w:rsid w:val="00E90C14"/>
    <w:rPr>
      <w:b/>
      <w:bCs/>
    </w:rPr>
  </w:style>
  <w:style w:type="character" w:customStyle="1" w:styleId="CommentSubjectChar">
    <w:name w:val="Comment Subject Char"/>
    <w:basedOn w:val="CommentTextChar"/>
    <w:link w:val="CommentSubject"/>
    <w:uiPriority w:val="99"/>
    <w:semiHidden/>
    <w:rsid w:val="00E90C14"/>
    <w:rPr>
      <w:rFonts w:ascii="Times New Roman" w:eastAsia="Times New Roman" w:hAnsi="Times New Roman" w:cs="Times New Roman"/>
      <w:b/>
      <w:bCs/>
      <w:sz w:val="20"/>
      <w:szCs w:val="20"/>
      <w:lang w:val="en-GB"/>
    </w:r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3365D1"/>
    <w:rPr>
      <w:color w:val="800080" w:themeColor="followedHyperlink"/>
      <w:u w:val="single"/>
    </w:rPr>
  </w:style>
  <w:style w:type="paragraph" w:customStyle="1" w:styleId="CityState">
    <w:name w:val="City/State"/>
    <w:basedOn w:val="BodyText"/>
    <w:rsid w:val="003F54B3"/>
    <w:pPr>
      <w:keepNext/>
      <w:spacing w:after="0"/>
      <w:ind w:left="-1800" w:right="1080"/>
    </w:pPr>
    <w:rPr>
      <w:rFonts w:ascii="Arial" w:hAnsi="Arial"/>
      <w:sz w:val="22"/>
      <w:szCs w:val="20"/>
      <w:lang w:val="en-US" w:bidi="ar-SA"/>
    </w:rPr>
  </w:style>
  <w:style w:type="paragraph" w:styleId="BodyText">
    <w:name w:val="Body Text"/>
    <w:basedOn w:val="Normal"/>
    <w:link w:val="BodyTextChar"/>
    <w:uiPriority w:val="99"/>
    <w:semiHidden/>
    <w:unhideWhenUsed/>
    <w:rsid w:val="003F54B3"/>
    <w:pPr>
      <w:spacing w:after="120"/>
    </w:pPr>
  </w:style>
  <w:style w:type="character" w:customStyle="1" w:styleId="BodyTextChar">
    <w:name w:val="Body Text Char"/>
    <w:basedOn w:val="DefaultParagraphFont"/>
    <w:link w:val="BodyText"/>
    <w:uiPriority w:val="99"/>
    <w:semiHidden/>
    <w:rsid w:val="003F54B3"/>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7259">
      <w:bodyDiv w:val="1"/>
      <w:marLeft w:val="0"/>
      <w:marRight w:val="0"/>
      <w:marTop w:val="0"/>
      <w:marBottom w:val="0"/>
      <w:divBdr>
        <w:top w:val="none" w:sz="0" w:space="0" w:color="auto"/>
        <w:left w:val="none" w:sz="0" w:space="0" w:color="auto"/>
        <w:bottom w:val="none" w:sz="0" w:space="0" w:color="auto"/>
        <w:right w:val="none" w:sz="0" w:space="0" w:color="auto"/>
      </w:divBdr>
    </w:div>
    <w:div w:id="21051920">
      <w:bodyDiv w:val="1"/>
      <w:marLeft w:val="0"/>
      <w:marRight w:val="0"/>
      <w:marTop w:val="0"/>
      <w:marBottom w:val="0"/>
      <w:divBdr>
        <w:top w:val="none" w:sz="0" w:space="0" w:color="auto"/>
        <w:left w:val="none" w:sz="0" w:space="0" w:color="auto"/>
        <w:bottom w:val="none" w:sz="0" w:space="0" w:color="auto"/>
        <w:right w:val="none" w:sz="0" w:space="0" w:color="auto"/>
      </w:divBdr>
      <w:divsChild>
        <w:div w:id="148794199">
          <w:marLeft w:val="0"/>
          <w:marRight w:val="0"/>
          <w:marTop w:val="0"/>
          <w:marBottom w:val="0"/>
          <w:divBdr>
            <w:top w:val="none" w:sz="0" w:space="0" w:color="auto"/>
            <w:left w:val="none" w:sz="0" w:space="0" w:color="auto"/>
            <w:bottom w:val="none" w:sz="0" w:space="0" w:color="auto"/>
            <w:right w:val="none" w:sz="0" w:space="0" w:color="auto"/>
          </w:divBdr>
          <w:divsChild>
            <w:div w:id="1436248125">
              <w:marLeft w:val="0"/>
              <w:marRight w:val="0"/>
              <w:marTop w:val="0"/>
              <w:marBottom w:val="0"/>
              <w:divBdr>
                <w:top w:val="none" w:sz="0" w:space="0" w:color="auto"/>
                <w:left w:val="none" w:sz="0" w:space="0" w:color="auto"/>
                <w:bottom w:val="none" w:sz="0" w:space="0" w:color="auto"/>
                <w:right w:val="none" w:sz="0" w:space="0" w:color="auto"/>
              </w:divBdr>
              <w:divsChild>
                <w:div w:id="1942563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13444">
      <w:bodyDiv w:val="1"/>
      <w:marLeft w:val="0"/>
      <w:marRight w:val="0"/>
      <w:marTop w:val="0"/>
      <w:marBottom w:val="0"/>
      <w:divBdr>
        <w:top w:val="none" w:sz="0" w:space="0" w:color="auto"/>
        <w:left w:val="none" w:sz="0" w:space="0" w:color="auto"/>
        <w:bottom w:val="none" w:sz="0" w:space="0" w:color="auto"/>
        <w:right w:val="none" w:sz="0" w:space="0" w:color="auto"/>
      </w:divBdr>
    </w:div>
    <w:div w:id="71511148">
      <w:bodyDiv w:val="1"/>
      <w:marLeft w:val="0"/>
      <w:marRight w:val="0"/>
      <w:marTop w:val="0"/>
      <w:marBottom w:val="0"/>
      <w:divBdr>
        <w:top w:val="none" w:sz="0" w:space="0" w:color="auto"/>
        <w:left w:val="none" w:sz="0" w:space="0" w:color="auto"/>
        <w:bottom w:val="none" w:sz="0" w:space="0" w:color="auto"/>
        <w:right w:val="none" w:sz="0" w:space="0" w:color="auto"/>
      </w:divBdr>
      <w:divsChild>
        <w:div w:id="771784336">
          <w:marLeft w:val="0"/>
          <w:marRight w:val="0"/>
          <w:marTop w:val="0"/>
          <w:marBottom w:val="0"/>
          <w:divBdr>
            <w:top w:val="none" w:sz="0" w:space="0" w:color="auto"/>
            <w:left w:val="none" w:sz="0" w:space="0" w:color="auto"/>
            <w:bottom w:val="none" w:sz="0" w:space="0" w:color="auto"/>
            <w:right w:val="none" w:sz="0" w:space="0" w:color="auto"/>
          </w:divBdr>
          <w:divsChild>
            <w:div w:id="2074619858">
              <w:marLeft w:val="0"/>
              <w:marRight w:val="0"/>
              <w:marTop w:val="0"/>
              <w:marBottom w:val="0"/>
              <w:divBdr>
                <w:top w:val="none" w:sz="0" w:space="0" w:color="auto"/>
                <w:left w:val="none" w:sz="0" w:space="0" w:color="auto"/>
                <w:bottom w:val="none" w:sz="0" w:space="0" w:color="auto"/>
                <w:right w:val="none" w:sz="0" w:space="0" w:color="auto"/>
              </w:divBdr>
              <w:divsChild>
                <w:div w:id="45359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45856">
      <w:bodyDiv w:val="1"/>
      <w:marLeft w:val="0"/>
      <w:marRight w:val="0"/>
      <w:marTop w:val="0"/>
      <w:marBottom w:val="0"/>
      <w:divBdr>
        <w:top w:val="none" w:sz="0" w:space="0" w:color="auto"/>
        <w:left w:val="none" w:sz="0" w:space="0" w:color="auto"/>
        <w:bottom w:val="none" w:sz="0" w:space="0" w:color="auto"/>
        <w:right w:val="none" w:sz="0" w:space="0" w:color="auto"/>
      </w:divBdr>
    </w:div>
    <w:div w:id="109278797">
      <w:bodyDiv w:val="1"/>
      <w:marLeft w:val="0"/>
      <w:marRight w:val="0"/>
      <w:marTop w:val="0"/>
      <w:marBottom w:val="0"/>
      <w:divBdr>
        <w:top w:val="none" w:sz="0" w:space="0" w:color="auto"/>
        <w:left w:val="none" w:sz="0" w:space="0" w:color="auto"/>
        <w:bottom w:val="none" w:sz="0" w:space="0" w:color="auto"/>
        <w:right w:val="none" w:sz="0" w:space="0" w:color="auto"/>
      </w:divBdr>
      <w:divsChild>
        <w:div w:id="447744975">
          <w:marLeft w:val="0"/>
          <w:marRight w:val="0"/>
          <w:marTop w:val="0"/>
          <w:marBottom w:val="0"/>
          <w:divBdr>
            <w:top w:val="none" w:sz="0" w:space="0" w:color="auto"/>
            <w:left w:val="none" w:sz="0" w:space="0" w:color="auto"/>
            <w:bottom w:val="none" w:sz="0" w:space="0" w:color="auto"/>
            <w:right w:val="none" w:sz="0" w:space="0" w:color="auto"/>
          </w:divBdr>
          <w:divsChild>
            <w:div w:id="1890648108">
              <w:marLeft w:val="0"/>
              <w:marRight w:val="0"/>
              <w:marTop w:val="0"/>
              <w:marBottom w:val="0"/>
              <w:divBdr>
                <w:top w:val="none" w:sz="0" w:space="0" w:color="auto"/>
                <w:left w:val="none" w:sz="0" w:space="0" w:color="auto"/>
                <w:bottom w:val="none" w:sz="0" w:space="0" w:color="auto"/>
                <w:right w:val="none" w:sz="0" w:space="0" w:color="auto"/>
              </w:divBdr>
              <w:divsChild>
                <w:div w:id="38811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51429">
      <w:bodyDiv w:val="1"/>
      <w:marLeft w:val="0"/>
      <w:marRight w:val="0"/>
      <w:marTop w:val="0"/>
      <w:marBottom w:val="0"/>
      <w:divBdr>
        <w:top w:val="none" w:sz="0" w:space="0" w:color="auto"/>
        <w:left w:val="none" w:sz="0" w:space="0" w:color="auto"/>
        <w:bottom w:val="none" w:sz="0" w:space="0" w:color="auto"/>
        <w:right w:val="none" w:sz="0" w:space="0" w:color="auto"/>
      </w:divBdr>
      <w:divsChild>
        <w:div w:id="976836127">
          <w:marLeft w:val="0"/>
          <w:marRight w:val="0"/>
          <w:marTop w:val="0"/>
          <w:marBottom w:val="0"/>
          <w:divBdr>
            <w:top w:val="none" w:sz="0" w:space="0" w:color="auto"/>
            <w:left w:val="none" w:sz="0" w:space="0" w:color="auto"/>
            <w:bottom w:val="none" w:sz="0" w:space="0" w:color="auto"/>
            <w:right w:val="none" w:sz="0" w:space="0" w:color="auto"/>
          </w:divBdr>
          <w:divsChild>
            <w:div w:id="1245145370">
              <w:marLeft w:val="0"/>
              <w:marRight w:val="0"/>
              <w:marTop w:val="0"/>
              <w:marBottom w:val="0"/>
              <w:divBdr>
                <w:top w:val="none" w:sz="0" w:space="0" w:color="auto"/>
                <w:left w:val="none" w:sz="0" w:space="0" w:color="auto"/>
                <w:bottom w:val="none" w:sz="0" w:space="0" w:color="auto"/>
                <w:right w:val="none" w:sz="0" w:space="0" w:color="auto"/>
              </w:divBdr>
              <w:divsChild>
                <w:div w:id="36872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75058">
      <w:bodyDiv w:val="1"/>
      <w:marLeft w:val="0"/>
      <w:marRight w:val="0"/>
      <w:marTop w:val="0"/>
      <w:marBottom w:val="0"/>
      <w:divBdr>
        <w:top w:val="none" w:sz="0" w:space="0" w:color="auto"/>
        <w:left w:val="none" w:sz="0" w:space="0" w:color="auto"/>
        <w:bottom w:val="none" w:sz="0" w:space="0" w:color="auto"/>
        <w:right w:val="none" w:sz="0" w:space="0" w:color="auto"/>
      </w:divBdr>
      <w:divsChild>
        <w:div w:id="359741224">
          <w:marLeft w:val="0"/>
          <w:marRight w:val="0"/>
          <w:marTop w:val="0"/>
          <w:marBottom w:val="0"/>
          <w:divBdr>
            <w:top w:val="none" w:sz="0" w:space="0" w:color="auto"/>
            <w:left w:val="none" w:sz="0" w:space="0" w:color="auto"/>
            <w:bottom w:val="none" w:sz="0" w:space="0" w:color="auto"/>
            <w:right w:val="none" w:sz="0" w:space="0" w:color="auto"/>
          </w:divBdr>
          <w:divsChild>
            <w:div w:id="1040205379">
              <w:marLeft w:val="0"/>
              <w:marRight w:val="0"/>
              <w:marTop w:val="0"/>
              <w:marBottom w:val="0"/>
              <w:divBdr>
                <w:top w:val="none" w:sz="0" w:space="0" w:color="auto"/>
                <w:left w:val="none" w:sz="0" w:space="0" w:color="auto"/>
                <w:bottom w:val="none" w:sz="0" w:space="0" w:color="auto"/>
                <w:right w:val="none" w:sz="0" w:space="0" w:color="auto"/>
              </w:divBdr>
              <w:divsChild>
                <w:div w:id="1918444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12098">
      <w:bodyDiv w:val="1"/>
      <w:marLeft w:val="0"/>
      <w:marRight w:val="0"/>
      <w:marTop w:val="0"/>
      <w:marBottom w:val="0"/>
      <w:divBdr>
        <w:top w:val="none" w:sz="0" w:space="0" w:color="auto"/>
        <w:left w:val="none" w:sz="0" w:space="0" w:color="auto"/>
        <w:bottom w:val="none" w:sz="0" w:space="0" w:color="auto"/>
        <w:right w:val="none" w:sz="0" w:space="0" w:color="auto"/>
      </w:divBdr>
      <w:divsChild>
        <w:div w:id="202257665">
          <w:marLeft w:val="0"/>
          <w:marRight w:val="0"/>
          <w:marTop w:val="0"/>
          <w:marBottom w:val="0"/>
          <w:divBdr>
            <w:top w:val="none" w:sz="0" w:space="0" w:color="auto"/>
            <w:left w:val="none" w:sz="0" w:space="0" w:color="auto"/>
            <w:bottom w:val="none" w:sz="0" w:space="0" w:color="auto"/>
            <w:right w:val="none" w:sz="0" w:space="0" w:color="auto"/>
          </w:divBdr>
          <w:divsChild>
            <w:div w:id="1195000246">
              <w:marLeft w:val="0"/>
              <w:marRight w:val="0"/>
              <w:marTop w:val="0"/>
              <w:marBottom w:val="0"/>
              <w:divBdr>
                <w:top w:val="none" w:sz="0" w:space="0" w:color="auto"/>
                <w:left w:val="none" w:sz="0" w:space="0" w:color="auto"/>
                <w:bottom w:val="none" w:sz="0" w:space="0" w:color="auto"/>
                <w:right w:val="none" w:sz="0" w:space="0" w:color="auto"/>
              </w:divBdr>
              <w:divsChild>
                <w:div w:id="16872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873598">
      <w:bodyDiv w:val="1"/>
      <w:marLeft w:val="0"/>
      <w:marRight w:val="0"/>
      <w:marTop w:val="0"/>
      <w:marBottom w:val="0"/>
      <w:divBdr>
        <w:top w:val="none" w:sz="0" w:space="0" w:color="auto"/>
        <w:left w:val="none" w:sz="0" w:space="0" w:color="auto"/>
        <w:bottom w:val="none" w:sz="0" w:space="0" w:color="auto"/>
        <w:right w:val="none" w:sz="0" w:space="0" w:color="auto"/>
      </w:divBdr>
      <w:divsChild>
        <w:div w:id="1683627454">
          <w:marLeft w:val="0"/>
          <w:marRight w:val="0"/>
          <w:marTop w:val="0"/>
          <w:marBottom w:val="0"/>
          <w:divBdr>
            <w:top w:val="none" w:sz="0" w:space="0" w:color="auto"/>
            <w:left w:val="none" w:sz="0" w:space="0" w:color="auto"/>
            <w:bottom w:val="none" w:sz="0" w:space="0" w:color="auto"/>
            <w:right w:val="none" w:sz="0" w:space="0" w:color="auto"/>
          </w:divBdr>
          <w:divsChild>
            <w:div w:id="131366026">
              <w:marLeft w:val="0"/>
              <w:marRight w:val="0"/>
              <w:marTop w:val="0"/>
              <w:marBottom w:val="0"/>
              <w:divBdr>
                <w:top w:val="none" w:sz="0" w:space="0" w:color="auto"/>
                <w:left w:val="none" w:sz="0" w:space="0" w:color="auto"/>
                <w:bottom w:val="none" w:sz="0" w:space="0" w:color="auto"/>
                <w:right w:val="none" w:sz="0" w:space="0" w:color="auto"/>
              </w:divBdr>
              <w:divsChild>
                <w:div w:id="26765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232284">
      <w:bodyDiv w:val="1"/>
      <w:marLeft w:val="0"/>
      <w:marRight w:val="0"/>
      <w:marTop w:val="0"/>
      <w:marBottom w:val="0"/>
      <w:divBdr>
        <w:top w:val="none" w:sz="0" w:space="0" w:color="auto"/>
        <w:left w:val="none" w:sz="0" w:space="0" w:color="auto"/>
        <w:bottom w:val="none" w:sz="0" w:space="0" w:color="auto"/>
        <w:right w:val="none" w:sz="0" w:space="0" w:color="auto"/>
      </w:divBdr>
    </w:div>
    <w:div w:id="311568646">
      <w:bodyDiv w:val="1"/>
      <w:marLeft w:val="0"/>
      <w:marRight w:val="0"/>
      <w:marTop w:val="0"/>
      <w:marBottom w:val="0"/>
      <w:divBdr>
        <w:top w:val="none" w:sz="0" w:space="0" w:color="auto"/>
        <w:left w:val="none" w:sz="0" w:space="0" w:color="auto"/>
        <w:bottom w:val="none" w:sz="0" w:space="0" w:color="auto"/>
        <w:right w:val="none" w:sz="0" w:space="0" w:color="auto"/>
      </w:divBdr>
      <w:divsChild>
        <w:div w:id="1131946444">
          <w:marLeft w:val="0"/>
          <w:marRight w:val="0"/>
          <w:marTop w:val="0"/>
          <w:marBottom w:val="0"/>
          <w:divBdr>
            <w:top w:val="none" w:sz="0" w:space="0" w:color="auto"/>
            <w:left w:val="none" w:sz="0" w:space="0" w:color="auto"/>
            <w:bottom w:val="none" w:sz="0" w:space="0" w:color="auto"/>
            <w:right w:val="none" w:sz="0" w:space="0" w:color="auto"/>
          </w:divBdr>
          <w:divsChild>
            <w:div w:id="1407876784">
              <w:marLeft w:val="0"/>
              <w:marRight w:val="0"/>
              <w:marTop w:val="0"/>
              <w:marBottom w:val="0"/>
              <w:divBdr>
                <w:top w:val="none" w:sz="0" w:space="0" w:color="auto"/>
                <w:left w:val="none" w:sz="0" w:space="0" w:color="auto"/>
                <w:bottom w:val="none" w:sz="0" w:space="0" w:color="auto"/>
                <w:right w:val="none" w:sz="0" w:space="0" w:color="auto"/>
              </w:divBdr>
              <w:divsChild>
                <w:div w:id="95329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579095">
      <w:bodyDiv w:val="1"/>
      <w:marLeft w:val="0"/>
      <w:marRight w:val="0"/>
      <w:marTop w:val="0"/>
      <w:marBottom w:val="0"/>
      <w:divBdr>
        <w:top w:val="none" w:sz="0" w:space="0" w:color="auto"/>
        <w:left w:val="none" w:sz="0" w:space="0" w:color="auto"/>
        <w:bottom w:val="none" w:sz="0" w:space="0" w:color="auto"/>
        <w:right w:val="none" w:sz="0" w:space="0" w:color="auto"/>
      </w:divBdr>
      <w:divsChild>
        <w:div w:id="1120880008">
          <w:marLeft w:val="0"/>
          <w:marRight w:val="0"/>
          <w:marTop w:val="0"/>
          <w:marBottom w:val="0"/>
          <w:divBdr>
            <w:top w:val="none" w:sz="0" w:space="0" w:color="auto"/>
            <w:left w:val="none" w:sz="0" w:space="0" w:color="auto"/>
            <w:bottom w:val="none" w:sz="0" w:space="0" w:color="auto"/>
            <w:right w:val="none" w:sz="0" w:space="0" w:color="auto"/>
          </w:divBdr>
          <w:divsChild>
            <w:div w:id="1889758184">
              <w:marLeft w:val="0"/>
              <w:marRight w:val="0"/>
              <w:marTop w:val="0"/>
              <w:marBottom w:val="0"/>
              <w:divBdr>
                <w:top w:val="none" w:sz="0" w:space="0" w:color="auto"/>
                <w:left w:val="none" w:sz="0" w:space="0" w:color="auto"/>
                <w:bottom w:val="none" w:sz="0" w:space="0" w:color="auto"/>
                <w:right w:val="none" w:sz="0" w:space="0" w:color="auto"/>
              </w:divBdr>
              <w:divsChild>
                <w:div w:id="20674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135496">
      <w:bodyDiv w:val="1"/>
      <w:marLeft w:val="0"/>
      <w:marRight w:val="0"/>
      <w:marTop w:val="0"/>
      <w:marBottom w:val="0"/>
      <w:divBdr>
        <w:top w:val="none" w:sz="0" w:space="0" w:color="auto"/>
        <w:left w:val="none" w:sz="0" w:space="0" w:color="auto"/>
        <w:bottom w:val="none" w:sz="0" w:space="0" w:color="auto"/>
        <w:right w:val="none" w:sz="0" w:space="0" w:color="auto"/>
      </w:divBdr>
    </w:div>
    <w:div w:id="484670019">
      <w:bodyDiv w:val="1"/>
      <w:marLeft w:val="0"/>
      <w:marRight w:val="0"/>
      <w:marTop w:val="0"/>
      <w:marBottom w:val="0"/>
      <w:divBdr>
        <w:top w:val="none" w:sz="0" w:space="0" w:color="auto"/>
        <w:left w:val="none" w:sz="0" w:space="0" w:color="auto"/>
        <w:bottom w:val="none" w:sz="0" w:space="0" w:color="auto"/>
        <w:right w:val="none" w:sz="0" w:space="0" w:color="auto"/>
      </w:divBdr>
      <w:divsChild>
        <w:div w:id="1372534915">
          <w:marLeft w:val="0"/>
          <w:marRight w:val="0"/>
          <w:marTop w:val="0"/>
          <w:marBottom w:val="0"/>
          <w:divBdr>
            <w:top w:val="none" w:sz="0" w:space="0" w:color="auto"/>
            <w:left w:val="none" w:sz="0" w:space="0" w:color="auto"/>
            <w:bottom w:val="none" w:sz="0" w:space="0" w:color="auto"/>
            <w:right w:val="none" w:sz="0" w:space="0" w:color="auto"/>
          </w:divBdr>
          <w:divsChild>
            <w:div w:id="1989089434">
              <w:marLeft w:val="0"/>
              <w:marRight w:val="0"/>
              <w:marTop w:val="0"/>
              <w:marBottom w:val="0"/>
              <w:divBdr>
                <w:top w:val="none" w:sz="0" w:space="0" w:color="auto"/>
                <w:left w:val="none" w:sz="0" w:space="0" w:color="auto"/>
                <w:bottom w:val="none" w:sz="0" w:space="0" w:color="auto"/>
                <w:right w:val="none" w:sz="0" w:space="0" w:color="auto"/>
              </w:divBdr>
              <w:divsChild>
                <w:div w:id="4129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560656">
      <w:bodyDiv w:val="1"/>
      <w:marLeft w:val="0"/>
      <w:marRight w:val="0"/>
      <w:marTop w:val="0"/>
      <w:marBottom w:val="0"/>
      <w:divBdr>
        <w:top w:val="none" w:sz="0" w:space="0" w:color="auto"/>
        <w:left w:val="none" w:sz="0" w:space="0" w:color="auto"/>
        <w:bottom w:val="none" w:sz="0" w:space="0" w:color="auto"/>
        <w:right w:val="none" w:sz="0" w:space="0" w:color="auto"/>
      </w:divBdr>
      <w:divsChild>
        <w:div w:id="877546288">
          <w:marLeft w:val="0"/>
          <w:marRight w:val="0"/>
          <w:marTop w:val="0"/>
          <w:marBottom w:val="0"/>
          <w:divBdr>
            <w:top w:val="none" w:sz="0" w:space="0" w:color="auto"/>
            <w:left w:val="none" w:sz="0" w:space="0" w:color="auto"/>
            <w:bottom w:val="none" w:sz="0" w:space="0" w:color="auto"/>
            <w:right w:val="none" w:sz="0" w:space="0" w:color="auto"/>
          </w:divBdr>
          <w:divsChild>
            <w:div w:id="1935435564">
              <w:marLeft w:val="0"/>
              <w:marRight w:val="0"/>
              <w:marTop w:val="0"/>
              <w:marBottom w:val="0"/>
              <w:divBdr>
                <w:top w:val="none" w:sz="0" w:space="0" w:color="auto"/>
                <w:left w:val="none" w:sz="0" w:space="0" w:color="auto"/>
                <w:bottom w:val="none" w:sz="0" w:space="0" w:color="auto"/>
                <w:right w:val="none" w:sz="0" w:space="0" w:color="auto"/>
              </w:divBdr>
              <w:divsChild>
                <w:div w:id="102047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95421">
      <w:bodyDiv w:val="1"/>
      <w:marLeft w:val="0"/>
      <w:marRight w:val="0"/>
      <w:marTop w:val="0"/>
      <w:marBottom w:val="0"/>
      <w:divBdr>
        <w:top w:val="none" w:sz="0" w:space="0" w:color="auto"/>
        <w:left w:val="none" w:sz="0" w:space="0" w:color="auto"/>
        <w:bottom w:val="none" w:sz="0" w:space="0" w:color="auto"/>
        <w:right w:val="none" w:sz="0" w:space="0" w:color="auto"/>
      </w:divBdr>
      <w:divsChild>
        <w:div w:id="1678577392">
          <w:marLeft w:val="0"/>
          <w:marRight w:val="0"/>
          <w:marTop w:val="0"/>
          <w:marBottom w:val="0"/>
          <w:divBdr>
            <w:top w:val="none" w:sz="0" w:space="0" w:color="auto"/>
            <w:left w:val="none" w:sz="0" w:space="0" w:color="auto"/>
            <w:bottom w:val="none" w:sz="0" w:space="0" w:color="auto"/>
            <w:right w:val="none" w:sz="0" w:space="0" w:color="auto"/>
          </w:divBdr>
          <w:divsChild>
            <w:div w:id="1985693760">
              <w:marLeft w:val="0"/>
              <w:marRight w:val="0"/>
              <w:marTop w:val="0"/>
              <w:marBottom w:val="0"/>
              <w:divBdr>
                <w:top w:val="none" w:sz="0" w:space="0" w:color="auto"/>
                <w:left w:val="none" w:sz="0" w:space="0" w:color="auto"/>
                <w:bottom w:val="none" w:sz="0" w:space="0" w:color="auto"/>
                <w:right w:val="none" w:sz="0" w:space="0" w:color="auto"/>
              </w:divBdr>
              <w:divsChild>
                <w:div w:id="153657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5310506">
      <w:bodyDiv w:val="1"/>
      <w:marLeft w:val="0"/>
      <w:marRight w:val="0"/>
      <w:marTop w:val="0"/>
      <w:marBottom w:val="0"/>
      <w:divBdr>
        <w:top w:val="none" w:sz="0" w:space="0" w:color="auto"/>
        <w:left w:val="none" w:sz="0" w:space="0" w:color="auto"/>
        <w:bottom w:val="none" w:sz="0" w:space="0" w:color="auto"/>
        <w:right w:val="none" w:sz="0" w:space="0" w:color="auto"/>
      </w:divBdr>
      <w:divsChild>
        <w:div w:id="1064909005">
          <w:marLeft w:val="0"/>
          <w:marRight w:val="0"/>
          <w:marTop w:val="0"/>
          <w:marBottom w:val="0"/>
          <w:divBdr>
            <w:top w:val="none" w:sz="0" w:space="0" w:color="auto"/>
            <w:left w:val="none" w:sz="0" w:space="0" w:color="auto"/>
            <w:bottom w:val="none" w:sz="0" w:space="0" w:color="auto"/>
            <w:right w:val="none" w:sz="0" w:space="0" w:color="auto"/>
          </w:divBdr>
          <w:divsChild>
            <w:div w:id="923807792">
              <w:marLeft w:val="0"/>
              <w:marRight w:val="0"/>
              <w:marTop w:val="0"/>
              <w:marBottom w:val="0"/>
              <w:divBdr>
                <w:top w:val="none" w:sz="0" w:space="0" w:color="auto"/>
                <w:left w:val="none" w:sz="0" w:space="0" w:color="auto"/>
                <w:bottom w:val="none" w:sz="0" w:space="0" w:color="auto"/>
                <w:right w:val="none" w:sz="0" w:space="0" w:color="auto"/>
              </w:divBdr>
              <w:divsChild>
                <w:div w:id="729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457482">
      <w:bodyDiv w:val="1"/>
      <w:marLeft w:val="0"/>
      <w:marRight w:val="0"/>
      <w:marTop w:val="0"/>
      <w:marBottom w:val="0"/>
      <w:divBdr>
        <w:top w:val="none" w:sz="0" w:space="0" w:color="auto"/>
        <w:left w:val="none" w:sz="0" w:space="0" w:color="auto"/>
        <w:bottom w:val="none" w:sz="0" w:space="0" w:color="auto"/>
        <w:right w:val="none" w:sz="0" w:space="0" w:color="auto"/>
      </w:divBdr>
      <w:divsChild>
        <w:div w:id="2015917635">
          <w:marLeft w:val="0"/>
          <w:marRight w:val="0"/>
          <w:marTop w:val="0"/>
          <w:marBottom w:val="0"/>
          <w:divBdr>
            <w:top w:val="none" w:sz="0" w:space="0" w:color="auto"/>
            <w:left w:val="none" w:sz="0" w:space="0" w:color="auto"/>
            <w:bottom w:val="none" w:sz="0" w:space="0" w:color="auto"/>
            <w:right w:val="none" w:sz="0" w:space="0" w:color="auto"/>
          </w:divBdr>
          <w:divsChild>
            <w:div w:id="699861366">
              <w:marLeft w:val="0"/>
              <w:marRight w:val="0"/>
              <w:marTop w:val="0"/>
              <w:marBottom w:val="0"/>
              <w:divBdr>
                <w:top w:val="none" w:sz="0" w:space="0" w:color="auto"/>
                <w:left w:val="none" w:sz="0" w:space="0" w:color="auto"/>
                <w:bottom w:val="none" w:sz="0" w:space="0" w:color="auto"/>
                <w:right w:val="none" w:sz="0" w:space="0" w:color="auto"/>
              </w:divBdr>
              <w:divsChild>
                <w:div w:id="207323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553081">
      <w:bodyDiv w:val="1"/>
      <w:marLeft w:val="0"/>
      <w:marRight w:val="0"/>
      <w:marTop w:val="0"/>
      <w:marBottom w:val="0"/>
      <w:divBdr>
        <w:top w:val="none" w:sz="0" w:space="0" w:color="auto"/>
        <w:left w:val="none" w:sz="0" w:space="0" w:color="auto"/>
        <w:bottom w:val="none" w:sz="0" w:space="0" w:color="auto"/>
        <w:right w:val="none" w:sz="0" w:space="0" w:color="auto"/>
      </w:divBdr>
      <w:divsChild>
        <w:div w:id="691686590">
          <w:marLeft w:val="0"/>
          <w:marRight w:val="0"/>
          <w:marTop w:val="0"/>
          <w:marBottom w:val="0"/>
          <w:divBdr>
            <w:top w:val="none" w:sz="0" w:space="0" w:color="auto"/>
            <w:left w:val="none" w:sz="0" w:space="0" w:color="auto"/>
            <w:bottom w:val="none" w:sz="0" w:space="0" w:color="auto"/>
            <w:right w:val="none" w:sz="0" w:space="0" w:color="auto"/>
          </w:divBdr>
          <w:divsChild>
            <w:div w:id="1856379637">
              <w:marLeft w:val="0"/>
              <w:marRight w:val="0"/>
              <w:marTop w:val="0"/>
              <w:marBottom w:val="0"/>
              <w:divBdr>
                <w:top w:val="none" w:sz="0" w:space="0" w:color="auto"/>
                <w:left w:val="none" w:sz="0" w:space="0" w:color="auto"/>
                <w:bottom w:val="none" w:sz="0" w:space="0" w:color="auto"/>
                <w:right w:val="none" w:sz="0" w:space="0" w:color="auto"/>
              </w:divBdr>
              <w:divsChild>
                <w:div w:id="176634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023258">
      <w:bodyDiv w:val="1"/>
      <w:marLeft w:val="0"/>
      <w:marRight w:val="0"/>
      <w:marTop w:val="0"/>
      <w:marBottom w:val="0"/>
      <w:divBdr>
        <w:top w:val="none" w:sz="0" w:space="0" w:color="auto"/>
        <w:left w:val="none" w:sz="0" w:space="0" w:color="auto"/>
        <w:bottom w:val="none" w:sz="0" w:space="0" w:color="auto"/>
        <w:right w:val="none" w:sz="0" w:space="0" w:color="auto"/>
      </w:divBdr>
    </w:div>
    <w:div w:id="735974008">
      <w:bodyDiv w:val="1"/>
      <w:marLeft w:val="0"/>
      <w:marRight w:val="0"/>
      <w:marTop w:val="0"/>
      <w:marBottom w:val="0"/>
      <w:divBdr>
        <w:top w:val="none" w:sz="0" w:space="0" w:color="auto"/>
        <w:left w:val="none" w:sz="0" w:space="0" w:color="auto"/>
        <w:bottom w:val="none" w:sz="0" w:space="0" w:color="auto"/>
        <w:right w:val="none" w:sz="0" w:space="0" w:color="auto"/>
      </w:divBdr>
    </w:div>
    <w:div w:id="739910959">
      <w:bodyDiv w:val="1"/>
      <w:marLeft w:val="0"/>
      <w:marRight w:val="0"/>
      <w:marTop w:val="0"/>
      <w:marBottom w:val="0"/>
      <w:divBdr>
        <w:top w:val="none" w:sz="0" w:space="0" w:color="auto"/>
        <w:left w:val="none" w:sz="0" w:space="0" w:color="auto"/>
        <w:bottom w:val="none" w:sz="0" w:space="0" w:color="auto"/>
        <w:right w:val="none" w:sz="0" w:space="0" w:color="auto"/>
      </w:divBdr>
      <w:divsChild>
        <w:div w:id="1016494313">
          <w:marLeft w:val="0"/>
          <w:marRight w:val="0"/>
          <w:marTop w:val="0"/>
          <w:marBottom w:val="0"/>
          <w:divBdr>
            <w:top w:val="none" w:sz="0" w:space="0" w:color="auto"/>
            <w:left w:val="none" w:sz="0" w:space="0" w:color="auto"/>
            <w:bottom w:val="none" w:sz="0" w:space="0" w:color="auto"/>
            <w:right w:val="none" w:sz="0" w:space="0" w:color="auto"/>
          </w:divBdr>
          <w:divsChild>
            <w:div w:id="261914404">
              <w:marLeft w:val="0"/>
              <w:marRight w:val="0"/>
              <w:marTop w:val="0"/>
              <w:marBottom w:val="0"/>
              <w:divBdr>
                <w:top w:val="none" w:sz="0" w:space="0" w:color="auto"/>
                <w:left w:val="none" w:sz="0" w:space="0" w:color="auto"/>
                <w:bottom w:val="none" w:sz="0" w:space="0" w:color="auto"/>
                <w:right w:val="none" w:sz="0" w:space="0" w:color="auto"/>
              </w:divBdr>
              <w:divsChild>
                <w:div w:id="170112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051201">
      <w:bodyDiv w:val="1"/>
      <w:marLeft w:val="0"/>
      <w:marRight w:val="0"/>
      <w:marTop w:val="0"/>
      <w:marBottom w:val="0"/>
      <w:divBdr>
        <w:top w:val="none" w:sz="0" w:space="0" w:color="auto"/>
        <w:left w:val="none" w:sz="0" w:space="0" w:color="auto"/>
        <w:bottom w:val="none" w:sz="0" w:space="0" w:color="auto"/>
        <w:right w:val="none" w:sz="0" w:space="0" w:color="auto"/>
      </w:divBdr>
      <w:divsChild>
        <w:div w:id="118646232">
          <w:marLeft w:val="0"/>
          <w:marRight w:val="0"/>
          <w:marTop w:val="0"/>
          <w:marBottom w:val="0"/>
          <w:divBdr>
            <w:top w:val="none" w:sz="0" w:space="0" w:color="auto"/>
            <w:left w:val="none" w:sz="0" w:space="0" w:color="auto"/>
            <w:bottom w:val="none" w:sz="0" w:space="0" w:color="auto"/>
            <w:right w:val="none" w:sz="0" w:space="0" w:color="auto"/>
          </w:divBdr>
          <w:divsChild>
            <w:div w:id="1030373237">
              <w:marLeft w:val="0"/>
              <w:marRight w:val="0"/>
              <w:marTop w:val="0"/>
              <w:marBottom w:val="0"/>
              <w:divBdr>
                <w:top w:val="none" w:sz="0" w:space="0" w:color="auto"/>
                <w:left w:val="none" w:sz="0" w:space="0" w:color="auto"/>
                <w:bottom w:val="none" w:sz="0" w:space="0" w:color="auto"/>
                <w:right w:val="none" w:sz="0" w:space="0" w:color="auto"/>
              </w:divBdr>
              <w:divsChild>
                <w:div w:id="103377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191651">
      <w:bodyDiv w:val="1"/>
      <w:marLeft w:val="0"/>
      <w:marRight w:val="0"/>
      <w:marTop w:val="0"/>
      <w:marBottom w:val="0"/>
      <w:divBdr>
        <w:top w:val="none" w:sz="0" w:space="0" w:color="auto"/>
        <w:left w:val="none" w:sz="0" w:space="0" w:color="auto"/>
        <w:bottom w:val="none" w:sz="0" w:space="0" w:color="auto"/>
        <w:right w:val="none" w:sz="0" w:space="0" w:color="auto"/>
      </w:divBdr>
      <w:divsChild>
        <w:div w:id="1906529187">
          <w:marLeft w:val="0"/>
          <w:marRight w:val="0"/>
          <w:marTop w:val="0"/>
          <w:marBottom w:val="0"/>
          <w:divBdr>
            <w:top w:val="none" w:sz="0" w:space="0" w:color="auto"/>
            <w:left w:val="none" w:sz="0" w:space="0" w:color="auto"/>
            <w:bottom w:val="none" w:sz="0" w:space="0" w:color="auto"/>
            <w:right w:val="none" w:sz="0" w:space="0" w:color="auto"/>
          </w:divBdr>
          <w:divsChild>
            <w:div w:id="969702608">
              <w:marLeft w:val="0"/>
              <w:marRight w:val="0"/>
              <w:marTop w:val="0"/>
              <w:marBottom w:val="0"/>
              <w:divBdr>
                <w:top w:val="none" w:sz="0" w:space="0" w:color="auto"/>
                <w:left w:val="none" w:sz="0" w:space="0" w:color="auto"/>
                <w:bottom w:val="none" w:sz="0" w:space="0" w:color="auto"/>
                <w:right w:val="none" w:sz="0" w:space="0" w:color="auto"/>
              </w:divBdr>
              <w:divsChild>
                <w:div w:id="39054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135535">
      <w:bodyDiv w:val="1"/>
      <w:marLeft w:val="0"/>
      <w:marRight w:val="0"/>
      <w:marTop w:val="0"/>
      <w:marBottom w:val="0"/>
      <w:divBdr>
        <w:top w:val="none" w:sz="0" w:space="0" w:color="auto"/>
        <w:left w:val="none" w:sz="0" w:space="0" w:color="auto"/>
        <w:bottom w:val="none" w:sz="0" w:space="0" w:color="auto"/>
        <w:right w:val="none" w:sz="0" w:space="0" w:color="auto"/>
      </w:divBdr>
    </w:div>
    <w:div w:id="864102030">
      <w:bodyDiv w:val="1"/>
      <w:marLeft w:val="0"/>
      <w:marRight w:val="0"/>
      <w:marTop w:val="0"/>
      <w:marBottom w:val="0"/>
      <w:divBdr>
        <w:top w:val="none" w:sz="0" w:space="0" w:color="auto"/>
        <w:left w:val="none" w:sz="0" w:space="0" w:color="auto"/>
        <w:bottom w:val="none" w:sz="0" w:space="0" w:color="auto"/>
        <w:right w:val="none" w:sz="0" w:space="0" w:color="auto"/>
      </w:divBdr>
      <w:divsChild>
        <w:div w:id="932009851">
          <w:marLeft w:val="0"/>
          <w:marRight w:val="0"/>
          <w:marTop w:val="0"/>
          <w:marBottom w:val="0"/>
          <w:divBdr>
            <w:top w:val="none" w:sz="0" w:space="0" w:color="auto"/>
            <w:left w:val="none" w:sz="0" w:space="0" w:color="auto"/>
            <w:bottom w:val="none" w:sz="0" w:space="0" w:color="auto"/>
            <w:right w:val="none" w:sz="0" w:space="0" w:color="auto"/>
          </w:divBdr>
          <w:divsChild>
            <w:div w:id="1976644766">
              <w:marLeft w:val="0"/>
              <w:marRight w:val="0"/>
              <w:marTop w:val="0"/>
              <w:marBottom w:val="0"/>
              <w:divBdr>
                <w:top w:val="none" w:sz="0" w:space="0" w:color="auto"/>
                <w:left w:val="none" w:sz="0" w:space="0" w:color="auto"/>
                <w:bottom w:val="none" w:sz="0" w:space="0" w:color="auto"/>
                <w:right w:val="none" w:sz="0" w:space="0" w:color="auto"/>
              </w:divBdr>
              <w:divsChild>
                <w:div w:id="187900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0461039">
      <w:bodyDiv w:val="1"/>
      <w:marLeft w:val="0"/>
      <w:marRight w:val="0"/>
      <w:marTop w:val="0"/>
      <w:marBottom w:val="0"/>
      <w:divBdr>
        <w:top w:val="none" w:sz="0" w:space="0" w:color="auto"/>
        <w:left w:val="none" w:sz="0" w:space="0" w:color="auto"/>
        <w:bottom w:val="none" w:sz="0" w:space="0" w:color="auto"/>
        <w:right w:val="none" w:sz="0" w:space="0" w:color="auto"/>
      </w:divBdr>
    </w:div>
    <w:div w:id="914509047">
      <w:bodyDiv w:val="1"/>
      <w:marLeft w:val="0"/>
      <w:marRight w:val="0"/>
      <w:marTop w:val="0"/>
      <w:marBottom w:val="0"/>
      <w:divBdr>
        <w:top w:val="none" w:sz="0" w:space="0" w:color="auto"/>
        <w:left w:val="none" w:sz="0" w:space="0" w:color="auto"/>
        <w:bottom w:val="none" w:sz="0" w:space="0" w:color="auto"/>
        <w:right w:val="none" w:sz="0" w:space="0" w:color="auto"/>
      </w:divBdr>
      <w:divsChild>
        <w:div w:id="809707891">
          <w:marLeft w:val="0"/>
          <w:marRight w:val="0"/>
          <w:marTop w:val="0"/>
          <w:marBottom w:val="0"/>
          <w:divBdr>
            <w:top w:val="none" w:sz="0" w:space="0" w:color="auto"/>
            <w:left w:val="none" w:sz="0" w:space="0" w:color="auto"/>
            <w:bottom w:val="none" w:sz="0" w:space="0" w:color="auto"/>
            <w:right w:val="none" w:sz="0" w:space="0" w:color="auto"/>
          </w:divBdr>
          <w:divsChild>
            <w:div w:id="412287484">
              <w:marLeft w:val="0"/>
              <w:marRight w:val="0"/>
              <w:marTop w:val="0"/>
              <w:marBottom w:val="0"/>
              <w:divBdr>
                <w:top w:val="none" w:sz="0" w:space="0" w:color="auto"/>
                <w:left w:val="none" w:sz="0" w:space="0" w:color="auto"/>
                <w:bottom w:val="none" w:sz="0" w:space="0" w:color="auto"/>
                <w:right w:val="none" w:sz="0" w:space="0" w:color="auto"/>
              </w:divBdr>
              <w:divsChild>
                <w:div w:id="1435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942313">
      <w:bodyDiv w:val="1"/>
      <w:marLeft w:val="0"/>
      <w:marRight w:val="0"/>
      <w:marTop w:val="0"/>
      <w:marBottom w:val="0"/>
      <w:divBdr>
        <w:top w:val="none" w:sz="0" w:space="0" w:color="auto"/>
        <w:left w:val="none" w:sz="0" w:space="0" w:color="auto"/>
        <w:bottom w:val="none" w:sz="0" w:space="0" w:color="auto"/>
        <w:right w:val="none" w:sz="0" w:space="0" w:color="auto"/>
      </w:divBdr>
      <w:divsChild>
        <w:div w:id="375660327">
          <w:marLeft w:val="0"/>
          <w:marRight w:val="0"/>
          <w:marTop w:val="0"/>
          <w:marBottom w:val="0"/>
          <w:divBdr>
            <w:top w:val="none" w:sz="0" w:space="0" w:color="auto"/>
            <w:left w:val="none" w:sz="0" w:space="0" w:color="auto"/>
            <w:bottom w:val="none" w:sz="0" w:space="0" w:color="auto"/>
            <w:right w:val="none" w:sz="0" w:space="0" w:color="auto"/>
          </w:divBdr>
          <w:divsChild>
            <w:div w:id="517161872">
              <w:marLeft w:val="0"/>
              <w:marRight w:val="0"/>
              <w:marTop w:val="0"/>
              <w:marBottom w:val="0"/>
              <w:divBdr>
                <w:top w:val="none" w:sz="0" w:space="0" w:color="auto"/>
                <w:left w:val="none" w:sz="0" w:space="0" w:color="auto"/>
                <w:bottom w:val="none" w:sz="0" w:space="0" w:color="auto"/>
                <w:right w:val="none" w:sz="0" w:space="0" w:color="auto"/>
              </w:divBdr>
              <w:divsChild>
                <w:div w:id="1014115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216117">
      <w:bodyDiv w:val="1"/>
      <w:marLeft w:val="0"/>
      <w:marRight w:val="0"/>
      <w:marTop w:val="0"/>
      <w:marBottom w:val="0"/>
      <w:divBdr>
        <w:top w:val="none" w:sz="0" w:space="0" w:color="auto"/>
        <w:left w:val="none" w:sz="0" w:space="0" w:color="auto"/>
        <w:bottom w:val="none" w:sz="0" w:space="0" w:color="auto"/>
        <w:right w:val="none" w:sz="0" w:space="0" w:color="auto"/>
      </w:divBdr>
      <w:divsChild>
        <w:div w:id="2100825611">
          <w:marLeft w:val="0"/>
          <w:marRight w:val="0"/>
          <w:marTop w:val="0"/>
          <w:marBottom w:val="0"/>
          <w:divBdr>
            <w:top w:val="none" w:sz="0" w:space="0" w:color="auto"/>
            <w:left w:val="none" w:sz="0" w:space="0" w:color="auto"/>
            <w:bottom w:val="none" w:sz="0" w:space="0" w:color="auto"/>
            <w:right w:val="none" w:sz="0" w:space="0" w:color="auto"/>
          </w:divBdr>
          <w:divsChild>
            <w:div w:id="862524290">
              <w:marLeft w:val="0"/>
              <w:marRight w:val="0"/>
              <w:marTop w:val="0"/>
              <w:marBottom w:val="0"/>
              <w:divBdr>
                <w:top w:val="none" w:sz="0" w:space="0" w:color="auto"/>
                <w:left w:val="none" w:sz="0" w:space="0" w:color="auto"/>
                <w:bottom w:val="none" w:sz="0" w:space="0" w:color="auto"/>
                <w:right w:val="none" w:sz="0" w:space="0" w:color="auto"/>
              </w:divBdr>
              <w:divsChild>
                <w:div w:id="6399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4671058">
      <w:bodyDiv w:val="1"/>
      <w:marLeft w:val="0"/>
      <w:marRight w:val="0"/>
      <w:marTop w:val="0"/>
      <w:marBottom w:val="0"/>
      <w:divBdr>
        <w:top w:val="none" w:sz="0" w:space="0" w:color="auto"/>
        <w:left w:val="none" w:sz="0" w:space="0" w:color="auto"/>
        <w:bottom w:val="none" w:sz="0" w:space="0" w:color="auto"/>
        <w:right w:val="none" w:sz="0" w:space="0" w:color="auto"/>
      </w:divBdr>
      <w:divsChild>
        <w:div w:id="1632596061">
          <w:marLeft w:val="0"/>
          <w:marRight w:val="0"/>
          <w:marTop w:val="0"/>
          <w:marBottom w:val="0"/>
          <w:divBdr>
            <w:top w:val="none" w:sz="0" w:space="0" w:color="auto"/>
            <w:left w:val="none" w:sz="0" w:space="0" w:color="auto"/>
            <w:bottom w:val="none" w:sz="0" w:space="0" w:color="auto"/>
            <w:right w:val="none" w:sz="0" w:space="0" w:color="auto"/>
          </w:divBdr>
          <w:divsChild>
            <w:div w:id="558706420">
              <w:marLeft w:val="0"/>
              <w:marRight w:val="0"/>
              <w:marTop w:val="0"/>
              <w:marBottom w:val="0"/>
              <w:divBdr>
                <w:top w:val="none" w:sz="0" w:space="0" w:color="auto"/>
                <w:left w:val="none" w:sz="0" w:space="0" w:color="auto"/>
                <w:bottom w:val="none" w:sz="0" w:space="0" w:color="auto"/>
                <w:right w:val="none" w:sz="0" w:space="0" w:color="auto"/>
              </w:divBdr>
              <w:divsChild>
                <w:div w:id="22341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642661">
      <w:bodyDiv w:val="1"/>
      <w:marLeft w:val="0"/>
      <w:marRight w:val="0"/>
      <w:marTop w:val="0"/>
      <w:marBottom w:val="0"/>
      <w:divBdr>
        <w:top w:val="none" w:sz="0" w:space="0" w:color="auto"/>
        <w:left w:val="none" w:sz="0" w:space="0" w:color="auto"/>
        <w:bottom w:val="none" w:sz="0" w:space="0" w:color="auto"/>
        <w:right w:val="none" w:sz="0" w:space="0" w:color="auto"/>
      </w:divBdr>
    </w:div>
    <w:div w:id="1043484747">
      <w:bodyDiv w:val="1"/>
      <w:marLeft w:val="0"/>
      <w:marRight w:val="0"/>
      <w:marTop w:val="0"/>
      <w:marBottom w:val="0"/>
      <w:divBdr>
        <w:top w:val="none" w:sz="0" w:space="0" w:color="auto"/>
        <w:left w:val="none" w:sz="0" w:space="0" w:color="auto"/>
        <w:bottom w:val="none" w:sz="0" w:space="0" w:color="auto"/>
        <w:right w:val="none" w:sz="0" w:space="0" w:color="auto"/>
      </w:divBdr>
      <w:divsChild>
        <w:div w:id="50663810">
          <w:marLeft w:val="0"/>
          <w:marRight w:val="0"/>
          <w:marTop w:val="0"/>
          <w:marBottom w:val="0"/>
          <w:divBdr>
            <w:top w:val="none" w:sz="0" w:space="0" w:color="auto"/>
            <w:left w:val="none" w:sz="0" w:space="0" w:color="auto"/>
            <w:bottom w:val="none" w:sz="0" w:space="0" w:color="auto"/>
            <w:right w:val="none" w:sz="0" w:space="0" w:color="auto"/>
          </w:divBdr>
          <w:divsChild>
            <w:div w:id="600650749">
              <w:marLeft w:val="0"/>
              <w:marRight w:val="0"/>
              <w:marTop w:val="0"/>
              <w:marBottom w:val="0"/>
              <w:divBdr>
                <w:top w:val="none" w:sz="0" w:space="0" w:color="auto"/>
                <w:left w:val="none" w:sz="0" w:space="0" w:color="auto"/>
                <w:bottom w:val="none" w:sz="0" w:space="0" w:color="auto"/>
                <w:right w:val="none" w:sz="0" w:space="0" w:color="auto"/>
              </w:divBdr>
              <w:divsChild>
                <w:div w:id="123276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835662">
      <w:bodyDiv w:val="1"/>
      <w:marLeft w:val="0"/>
      <w:marRight w:val="0"/>
      <w:marTop w:val="0"/>
      <w:marBottom w:val="0"/>
      <w:divBdr>
        <w:top w:val="none" w:sz="0" w:space="0" w:color="auto"/>
        <w:left w:val="none" w:sz="0" w:space="0" w:color="auto"/>
        <w:bottom w:val="none" w:sz="0" w:space="0" w:color="auto"/>
        <w:right w:val="none" w:sz="0" w:space="0" w:color="auto"/>
      </w:divBdr>
      <w:divsChild>
        <w:div w:id="1268778363">
          <w:marLeft w:val="0"/>
          <w:marRight w:val="0"/>
          <w:marTop w:val="0"/>
          <w:marBottom w:val="0"/>
          <w:divBdr>
            <w:top w:val="none" w:sz="0" w:space="0" w:color="auto"/>
            <w:left w:val="none" w:sz="0" w:space="0" w:color="auto"/>
            <w:bottom w:val="none" w:sz="0" w:space="0" w:color="auto"/>
            <w:right w:val="none" w:sz="0" w:space="0" w:color="auto"/>
          </w:divBdr>
          <w:divsChild>
            <w:div w:id="1614289894">
              <w:marLeft w:val="0"/>
              <w:marRight w:val="0"/>
              <w:marTop w:val="0"/>
              <w:marBottom w:val="0"/>
              <w:divBdr>
                <w:top w:val="none" w:sz="0" w:space="0" w:color="auto"/>
                <w:left w:val="none" w:sz="0" w:space="0" w:color="auto"/>
                <w:bottom w:val="none" w:sz="0" w:space="0" w:color="auto"/>
                <w:right w:val="none" w:sz="0" w:space="0" w:color="auto"/>
              </w:divBdr>
              <w:divsChild>
                <w:div w:id="1339773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3311006">
      <w:bodyDiv w:val="1"/>
      <w:marLeft w:val="0"/>
      <w:marRight w:val="0"/>
      <w:marTop w:val="0"/>
      <w:marBottom w:val="0"/>
      <w:divBdr>
        <w:top w:val="none" w:sz="0" w:space="0" w:color="auto"/>
        <w:left w:val="none" w:sz="0" w:space="0" w:color="auto"/>
        <w:bottom w:val="none" w:sz="0" w:space="0" w:color="auto"/>
        <w:right w:val="none" w:sz="0" w:space="0" w:color="auto"/>
      </w:divBdr>
      <w:divsChild>
        <w:div w:id="1841659291">
          <w:marLeft w:val="0"/>
          <w:marRight w:val="0"/>
          <w:marTop w:val="0"/>
          <w:marBottom w:val="0"/>
          <w:divBdr>
            <w:top w:val="none" w:sz="0" w:space="0" w:color="auto"/>
            <w:left w:val="none" w:sz="0" w:space="0" w:color="auto"/>
            <w:bottom w:val="none" w:sz="0" w:space="0" w:color="auto"/>
            <w:right w:val="none" w:sz="0" w:space="0" w:color="auto"/>
          </w:divBdr>
          <w:divsChild>
            <w:div w:id="1919516273">
              <w:marLeft w:val="0"/>
              <w:marRight w:val="0"/>
              <w:marTop w:val="0"/>
              <w:marBottom w:val="0"/>
              <w:divBdr>
                <w:top w:val="none" w:sz="0" w:space="0" w:color="auto"/>
                <w:left w:val="none" w:sz="0" w:space="0" w:color="auto"/>
                <w:bottom w:val="none" w:sz="0" w:space="0" w:color="auto"/>
                <w:right w:val="none" w:sz="0" w:space="0" w:color="auto"/>
              </w:divBdr>
              <w:divsChild>
                <w:div w:id="201217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085944">
      <w:bodyDiv w:val="1"/>
      <w:marLeft w:val="0"/>
      <w:marRight w:val="0"/>
      <w:marTop w:val="0"/>
      <w:marBottom w:val="0"/>
      <w:divBdr>
        <w:top w:val="none" w:sz="0" w:space="0" w:color="auto"/>
        <w:left w:val="none" w:sz="0" w:space="0" w:color="auto"/>
        <w:bottom w:val="none" w:sz="0" w:space="0" w:color="auto"/>
        <w:right w:val="none" w:sz="0" w:space="0" w:color="auto"/>
      </w:divBdr>
    </w:div>
    <w:div w:id="1138575025">
      <w:bodyDiv w:val="1"/>
      <w:marLeft w:val="0"/>
      <w:marRight w:val="0"/>
      <w:marTop w:val="0"/>
      <w:marBottom w:val="0"/>
      <w:divBdr>
        <w:top w:val="none" w:sz="0" w:space="0" w:color="auto"/>
        <w:left w:val="none" w:sz="0" w:space="0" w:color="auto"/>
        <w:bottom w:val="none" w:sz="0" w:space="0" w:color="auto"/>
        <w:right w:val="none" w:sz="0" w:space="0" w:color="auto"/>
      </w:divBdr>
    </w:div>
    <w:div w:id="1172375532">
      <w:bodyDiv w:val="1"/>
      <w:marLeft w:val="0"/>
      <w:marRight w:val="0"/>
      <w:marTop w:val="0"/>
      <w:marBottom w:val="0"/>
      <w:divBdr>
        <w:top w:val="none" w:sz="0" w:space="0" w:color="auto"/>
        <w:left w:val="none" w:sz="0" w:space="0" w:color="auto"/>
        <w:bottom w:val="none" w:sz="0" w:space="0" w:color="auto"/>
        <w:right w:val="none" w:sz="0" w:space="0" w:color="auto"/>
      </w:divBdr>
    </w:div>
    <w:div w:id="1209564053">
      <w:bodyDiv w:val="1"/>
      <w:marLeft w:val="0"/>
      <w:marRight w:val="0"/>
      <w:marTop w:val="0"/>
      <w:marBottom w:val="0"/>
      <w:divBdr>
        <w:top w:val="none" w:sz="0" w:space="0" w:color="auto"/>
        <w:left w:val="none" w:sz="0" w:space="0" w:color="auto"/>
        <w:bottom w:val="none" w:sz="0" w:space="0" w:color="auto"/>
        <w:right w:val="none" w:sz="0" w:space="0" w:color="auto"/>
      </w:divBdr>
      <w:divsChild>
        <w:div w:id="439253483">
          <w:marLeft w:val="0"/>
          <w:marRight w:val="0"/>
          <w:marTop w:val="0"/>
          <w:marBottom w:val="0"/>
          <w:divBdr>
            <w:top w:val="none" w:sz="0" w:space="0" w:color="auto"/>
            <w:left w:val="none" w:sz="0" w:space="0" w:color="auto"/>
            <w:bottom w:val="none" w:sz="0" w:space="0" w:color="auto"/>
            <w:right w:val="none" w:sz="0" w:space="0" w:color="auto"/>
          </w:divBdr>
          <w:divsChild>
            <w:div w:id="10183654">
              <w:marLeft w:val="0"/>
              <w:marRight w:val="0"/>
              <w:marTop w:val="0"/>
              <w:marBottom w:val="0"/>
              <w:divBdr>
                <w:top w:val="none" w:sz="0" w:space="0" w:color="auto"/>
                <w:left w:val="none" w:sz="0" w:space="0" w:color="auto"/>
                <w:bottom w:val="none" w:sz="0" w:space="0" w:color="auto"/>
                <w:right w:val="none" w:sz="0" w:space="0" w:color="auto"/>
              </w:divBdr>
              <w:divsChild>
                <w:div w:id="126205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951997">
      <w:bodyDiv w:val="1"/>
      <w:marLeft w:val="0"/>
      <w:marRight w:val="0"/>
      <w:marTop w:val="0"/>
      <w:marBottom w:val="0"/>
      <w:divBdr>
        <w:top w:val="none" w:sz="0" w:space="0" w:color="auto"/>
        <w:left w:val="none" w:sz="0" w:space="0" w:color="auto"/>
        <w:bottom w:val="none" w:sz="0" w:space="0" w:color="auto"/>
        <w:right w:val="none" w:sz="0" w:space="0" w:color="auto"/>
      </w:divBdr>
      <w:divsChild>
        <w:div w:id="1555658979">
          <w:marLeft w:val="0"/>
          <w:marRight w:val="0"/>
          <w:marTop w:val="0"/>
          <w:marBottom w:val="0"/>
          <w:divBdr>
            <w:top w:val="none" w:sz="0" w:space="0" w:color="auto"/>
            <w:left w:val="none" w:sz="0" w:space="0" w:color="auto"/>
            <w:bottom w:val="none" w:sz="0" w:space="0" w:color="auto"/>
            <w:right w:val="none" w:sz="0" w:space="0" w:color="auto"/>
          </w:divBdr>
          <w:divsChild>
            <w:div w:id="544371919">
              <w:marLeft w:val="0"/>
              <w:marRight w:val="0"/>
              <w:marTop w:val="0"/>
              <w:marBottom w:val="0"/>
              <w:divBdr>
                <w:top w:val="none" w:sz="0" w:space="0" w:color="auto"/>
                <w:left w:val="none" w:sz="0" w:space="0" w:color="auto"/>
                <w:bottom w:val="none" w:sz="0" w:space="0" w:color="auto"/>
                <w:right w:val="none" w:sz="0" w:space="0" w:color="auto"/>
              </w:divBdr>
              <w:divsChild>
                <w:div w:id="134879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011656">
      <w:bodyDiv w:val="1"/>
      <w:marLeft w:val="0"/>
      <w:marRight w:val="0"/>
      <w:marTop w:val="0"/>
      <w:marBottom w:val="0"/>
      <w:divBdr>
        <w:top w:val="none" w:sz="0" w:space="0" w:color="auto"/>
        <w:left w:val="none" w:sz="0" w:space="0" w:color="auto"/>
        <w:bottom w:val="none" w:sz="0" w:space="0" w:color="auto"/>
        <w:right w:val="none" w:sz="0" w:space="0" w:color="auto"/>
      </w:divBdr>
      <w:divsChild>
        <w:div w:id="2016230329">
          <w:marLeft w:val="0"/>
          <w:marRight w:val="0"/>
          <w:marTop w:val="0"/>
          <w:marBottom w:val="0"/>
          <w:divBdr>
            <w:top w:val="none" w:sz="0" w:space="0" w:color="auto"/>
            <w:left w:val="none" w:sz="0" w:space="0" w:color="auto"/>
            <w:bottom w:val="none" w:sz="0" w:space="0" w:color="auto"/>
            <w:right w:val="none" w:sz="0" w:space="0" w:color="auto"/>
          </w:divBdr>
          <w:divsChild>
            <w:div w:id="1397973459">
              <w:marLeft w:val="0"/>
              <w:marRight w:val="0"/>
              <w:marTop w:val="0"/>
              <w:marBottom w:val="0"/>
              <w:divBdr>
                <w:top w:val="none" w:sz="0" w:space="0" w:color="auto"/>
                <w:left w:val="none" w:sz="0" w:space="0" w:color="auto"/>
                <w:bottom w:val="none" w:sz="0" w:space="0" w:color="auto"/>
                <w:right w:val="none" w:sz="0" w:space="0" w:color="auto"/>
              </w:divBdr>
              <w:divsChild>
                <w:div w:id="1727025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561783">
      <w:bodyDiv w:val="1"/>
      <w:marLeft w:val="0"/>
      <w:marRight w:val="0"/>
      <w:marTop w:val="0"/>
      <w:marBottom w:val="0"/>
      <w:divBdr>
        <w:top w:val="none" w:sz="0" w:space="0" w:color="auto"/>
        <w:left w:val="none" w:sz="0" w:space="0" w:color="auto"/>
        <w:bottom w:val="none" w:sz="0" w:space="0" w:color="auto"/>
        <w:right w:val="none" w:sz="0" w:space="0" w:color="auto"/>
      </w:divBdr>
    </w:div>
    <w:div w:id="1345133052">
      <w:bodyDiv w:val="1"/>
      <w:marLeft w:val="0"/>
      <w:marRight w:val="0"/>
      <w:marTop w:val="0"/>
      <w:marBottom w:val="0"/>
      <w:divBdr>
        <w:top w:val="none" w:sz="0" w:space="0" w:color="auto"/>
        <w:left w:val="none" w:sz="0" w:space="0" w:color="auto"/>
        <w:bottom w:val="none" w:sz="0" w:space="0" w:color="auto"/>
        <w:right w:val="none" w:sz="0" w:space="0" w:color="auto"/>
      </w:divBdr>
      <w:divsChild>
        <w:div w:id="1266382515">
          <w:marLeft w:val="0"/>
          <w:marRight w:val="0"/>
          <w:marTop w:val="0"/>
          <w:marBottom w:val="0"/>
          <w:divBdr>
            <w:top w:val="none" w:sz="0" w:space="0" w:color="auto"/>
            <w:left w:val="none" w:sz="0" w:space="0" w:color="auto"/>
            <w:bottom w:val="none" w:sz="0" w:space="0" w:color="auto"/>
            <w:right w:val="none" w:sz="0" w:space="0" w:color="auto"/>
          </w:divBdr>
          <w:divsChild>
            <w:div w:id="1711884045">
              <w:marLeft w:val="0"/>
              <w:marRight w:val="0"/>
              <w:marTop w:val="0"/>
              <w:marBottom w:val="0"/>
              <w:divBdr>
                <w:top w:val="none" w:sz="0" w:space="0" w:color="auto"/>
                <w:left w:val="none" w:sz="0" w:space="0" w:color="auto"/>
                <w:bottom w:val="none" w:sz="0" w:space="0" w:color="auto"/>
                <w:right w:val="none" w:sz="0" w:space="0" w:color="auto"/>
              </w:divBdr>
              <w:divsChild>
                <w:div w:id="41452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753132">
      <w:bodyDiv w:val="1"/>
      <w:marLeft w:val="0"/>
      <w:marRight w:val="0"/>
      <w:marTop w:val="0"/>
      <w:marBottom w:val="0"/>
      <w:divBdr>
        <w:top w:val="none" w:sz="0" w:space="0" w:color="auto"/>
        <w:left w:val="none" w:sz="0" w:space="0" w:color="auto"/>
        <w:bottom w:val="none" w:sz="0" w:space="0" w:color="auto"/>
        <w:right w:val="none" w:sz="0" w:space="0" w:color="auto"/>
      </w:divBdr>
    </w:div>
    <w:div w:id="1397127273">
      <w:bodyDiv w:val="1"/>
      <w:marLeft w:val="0"/>
      <w:marRight w:val="0"/>
      <w:marTop w:val="0"/>
      <w:marBottom w:val="0"/>
      <w:divBdr>
        <w:top w:val="none" w:sz="0" w:space="0" w:color="auto"/>
        <w:left w:val="none" w:sz="0" w:space="0" w:color="auto"/>
        <w:bottom w:val="none" w:sz="0" w:space="0" w:color="auto"/>
        <w:right w:val="none" w:sz="0" w:space="0" w:color="auto"/>
      </w:divBdr>
      <w:divsChild>
        <w:div w:id="459542114">
          <w:marLeft w:val="0"/>
          <w:marRight w:val="0"/>
          <w:marTop w:val="0"/>
          <w:marBottom w:val="0"/>
          <w:divBdr>
            <w:top w:val="none" w:sz="0" w:space="0" w:color="auto"/>
            <w:left w:val="none" w:sz="0" w:space="0" w:color="auto"/>
            <w:bottom w:val="none" w:sz="0" w:space="0" w:color="auto"/>
            <w:right w:val="none" w:sz="0" w:space="0" w:color="auto"/>
          </w:divBdr>
          <w:divsChild>
            <w:div w:id="535628351">
              <w:marLeft w:val="0"/>
              <w:marRight w:val="0"/>
              <w:marTop w:val="0"/>
              <w:marBottom w:val="0"/>
              <w:divBdr>
                <w:top w:val="none" w:sz="0" w:space="0" w:color="auto"/>
                <w:left w:val="none" w:sz="0" w:space="0" w:color="auto"/>
                <w:bottom w:val="none" w:sz="0" w:space="0" w:color="auto"/>
                <w:right w:val="none" w:sz="0" w:space="0" w:color="auto"/>
              </w:divBdr>
              <w:divsChild>
                <w:div w:id="122624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733026">
      <w:bodyDiv w:val="1"/>
      <w:marLeft w:val="0"/>
      <w:marRight w:val="0"/>
      <w:marTop w:val="0"/>
      <w:marBottom w:val="0"/>
      <w:divBdr>
        <w:top w:val="none" w:sz="0" w:space="0" w:color="auto"/>
        <w:left w:val="none" w:sz="0" w:space="0" w:color="auto"/>
        <w:bottom w:val="none" w:sz="0" w:space="0" w:color="auto"/>
        <w:right w:val="none" w:sz="0" w:space="0" w:color="auto"/>
      </w:divBdr>
      <w:divsChild>
        <w:div w:id="654530905">
          <w:marLeft w:val="0"/>
          <w:marRight w:val="0"/>
          <w:marTop w:val="0"/>
          <w:marBottom w:val="0"/>
          <w:divBdr>
            <w:top w:val="none" w:sz="0" w:space="0" w:color="auto"/>
            <w:left w:val="none" w:sz="0" w:space="0" w:color="auto"/>
            <w:bottom w:val="none" w:sz="0" w:space="0" w:color="auto"/>
            <w:right w:val="none" w:sz="0" w:space="0" w:color="auto"/>
          </w:divBdr>
          <w:divsChild>
            <w:div w:id="1060323674">
              <w:marLeft w:val="0"/>
              <w:marRight w:val="0"/>
              <w:marTop w:val="0"/>
              <w:marBottom w:val="0"/>
              <w:divBdr>
                <w:top w:val="none" w:sz="0" w:space="0" w:color="auto"/>
                <w:left w:val="none" w:sz="0" w:space="0" w:color="auto"/>
                <w:bottom w:val="none" w:sz="0" w:space="0" w:color="auto"/>
                <w:right w:val="none" w:sz="0" w:space="0" w:color="auto"/>
              </w:divBdr>
              <w:divsChild>
                <w:div w:id="127077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9854770">
      <w:bodyDiv w:val="1"/>
      <w:marLeft w:val="0"/>
      <w:marRight w:val="0"/>
      <w:marTop w:val="0"/>
      <w:marBottom w:val="0"/>
      <w:divBdr>
        <w:top w:val="none" w:sz="0" w:space="0" w:color="auto"/>
        <w:left w:val="none" w:sz="0" w:space="0" w:color="auto"/>
        <w:bottom w:val="none" w:sz="0" w:space="0" w:color="auto"/>
        <w:right w:val="none" w:sz="0" w:space="0" w:color="auto"/>
      </w:divBdr>
    </w:div>
    <w:div w:id="1482038851">
      <w:bodyDiv w:val="1"/>
      <w:marLeft w:val="0"/>
      <w:marRight w:val="0"/>
      <w:marTop w:val="0"/>
      <w:marBottom w:val="0"/>
      <w:divBdr>
        <w:top w:val="none" w:sz="0" w:space="0" w:color="auto"/>
        <w:left w:val="none" w:sz="0" w:space="0" w:color="auto"/>
        <w:bottom w:val="none" w:sz="0" w:space="0" w:color="auto"/>
        <w:right w:val="none" w:sz="0" w:space="0" w:color="auto"/>
      </w:divBdr>
    </w:div>
    <w:div w:id="1558783832">
      <w:bodyDiv w:val="1"/>
      <w:marLeft w:val="0"/>
      <w:marRight w:val="0"/>
      <w:marTop w:val="0"/>
      <w:marBottom w:val="0"/>
      <w:divBdr>
        <w:top w:val="none" w:sz="0" w:space="0" w:color="auto"/>
        <w:left w:val="none" w:sz="0" w:space="0" w:color="auto"/>
        <w:bottom w:val="none" w:sz="0" w:space="0" w:color="auto"/>
        <w:right w:val="none" w:sz="0" w:space="0" w:color="auto"/>
      </w:divBdr>
    </w:div>
    <w:div w:id="1623655906">
      <w:bodyDiv w:val="1"/>
      <w:marLeft w:val="0"/>
      <w:marRight w:val="0"/>
      <w:marTop w:val="0"/>
      <w:marBottom w:val="0"/>
      <w:divBdr>
        <w:top w:val="none" w:sz="0" w:space="0" w:color="auto"/>
        <w:left w:val="none" w:sz="0" w:space="0" w:color="auto"/>
        <w:bottom w:val="none" w:sz="0" w:space="0" w:color="auto"/>
        <w:right w:val="none" w:sz="0" w:space="0" w:color="auto"/>
      </w:divBdr>
      <w:divsChild>
        <w:div w:id="1426342986">
          <w:marLeft w:val="0"/>
          <w:marRight w:val="0"/>
          <w:marTop w:val="0"/>
          <w:marBottom w:val="0"/>
          <w:divBdr>
            <w:top w:val="none" w:sz="0" w:space="0" w:color="auto"/>
            <w:left w:val="none" w:sz="0" w:space="0" w:color="auto"/>
            <w:bottom w:val="none" w:sz="0" w:space="0" w:color="auto"/>
            <w:right w:val="none" w:sz="0" w:space="0" w:color="auto"/>
          </w:divBdr>
          <w:divsChild>
            <w:div w:id="286468601">
              <w:marLeft w:val="0"/>
              <w:marRight w:val="0"/>
              <w:marTop w:val="0"/>
              <w:marBottom w:val="0"/>
              <w:divBdr>
                <w:top w:val="none" w:sz="0" w:space="0" w:color="auto"/>
                <w:left w:val="none" w:sz="0" w:space="0" w:color="auto"/>
                <w:bottom w:val="none" w:sz="0" w:space="0" w:color="auto"/>
                <w:right w:val="none" w:sz="0" w:space="0" w:color="auto"/>
              </w:divBdr>
              <w:divsChild>
                <w:div w:id="10618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978884">
      <w:bodyDiv w:val="1"/>
      <w:marLeft w:val="0"/>
      <w:marRight w:val="0"/>
      <w:marTop w:val="0"/>
      <w:marBottom w:val="0"/>
      <w:divBdr>
        <w:top w:val="none" w:sz="0" w:space="0" w:color="auto"/>
        <w:left w:val="none" w:sz="0" w:space="0" w:color="auto"/>
        <w:bottom w:val="none" w:sz="0" w:space="0" w:color="auto"/>
        <w:right w:val="none" w:sz="0" w:space="0" w:color="auto"/>
      </w:divBdr>
      <w:divsChild>
        <w:div w:id="692463628">
          <w:marLeft w:val="0"/>
          <w:marRight w:val="0"/>
          <w:marTop w:val="0"/>
          <w:marBottom w:val="0"/>
          <w:divBdr>
            <w:top w:val="none" w:sz="0" w:space="0" w:color="auto"/>
            <w:left w:val="none" w:sz="0" w:space="0" w:color="auto"/>
            <w:bottom w:val="none" w:sz="0" w:space="0" w:color="auto"/>
            <w:right w:val="none" w:sz="0" w:space="0" w:color="auto"/>
          </w:divBdr>
          <w:divsChild>
            <w:div w:id="1714885164">
              <w:marLeft w:val="0"/>
              <w:marRight w:val="0"/>
              <w:marTop w:val="0"/>
              <w:marBottom w:val="0"/>
              <w:divBdr>
                <w:top w:val="none" w:sz="0" w:space="0" w:color="auto"/>
                <w:left w:val="none" w:sz="0" w:space="0" w:color="auto"/>
                <w:bottom w:val="none" w:sz="0" w:space="0" w:color="auto"/>
                <w:right w:val="none" w:sz="0" w:space="0" w:color="auto"/>
              </w:divBdr>
              <w:divsChild>
                <w:div w:id="42083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677172">
      <w:bodyDiv w:val="1"/>
      <w:marLeft w:val="0"/>
      <w:marRight w:val="0"/>
      <w:marTop w:val="0"/>
      <w:marBottom w:val="0"/>
      <w:divBdr>
        <w:top w:val="none" w:sz="0" w:space="0" w:color="auto"/>
        <w:left w:val="none" w:sz="0" w:space="0" w:color="auto"/>
        <w:bottom w:val="none" w:sz="0" w:space="0" w:color="auto"/>
        <w:right w:val="none" w:sz="0" w:space="0" w:color="auto"/>
      </w:divBdr>
    </w:div>
    <w:div w:id="1645741095">
      <w:bodyDiv w:val="1"/>
      <w:marLeft w:val="0"/>
      <w:marRight w:val="0"/>
      <w:marTop w:val="0"/>
      <w:marBottom w:val="0"/>
      <w:divBdr>
        <w:top w:val="none" w:sz="0" w:space="0" w:color="auto"/>
        <w:left w:val="none" w:sz="0" w:space="0" w:color="auto"/>
        <w:bottom w:val="none" w:sz="0" w:space="0" w:color="auto"/>
        <w:right w:val="none" w:sz="0" w:space="0" w:color="auto"/>
      </w:divBdr>
      <w:divsChild>
        <w:div w:id="754135690">
          <w:marLeft w:val="0"/>
          <w:marRight w:val="0"/>
          <w:marTop w:val="0"/>
          <w:marBottom w:val="0"/>
          <w:divBdr>
            <w:top w:val="none" w:sz="0" w:space="0" w:color="auto"/>
            <w:left w:val="none" w:sz="0" w:space="0" w:color="auto"/>
            <w:bottom w:val="none" w:sz="0" w:space="0" w:color="auto"/>
            <w:right w:val="none" w:sz="0" w:space="0" w:color="auto"/>
          </w:divBdr>
          <w:divsChild>
            <w:div w:id="1013261939">
              <w:marLeft w:val="0"/>
              <w:marRight w:val="0"/>
              <w:marTop w:val="0"/>
              <w:marBottom w:val="0"/>
              <w:divBdr>
                <w:top w:val="none" w:sz="0" w:space="0" w:color="auto"/>
                <w:left w:val="none" w:sz="0" w:space="0" w:color="auto"/>
                <w:bottom w:val="none" w:sz="0" w:space="0" w:color="auto"/>
                <w:right w:val="none" w:sz="0" w:space="0" w:color="auto"/>
              </w:divBdr>
              <w:divsChild>
                <w:div w:id="337268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15975">
      <w:bodyDiv w:val="1"/>
      <w:marLeft w:val="0"/>
      <w:marRight w:val="0"/>
      <w:marTop w:val="0"/>
      <w:marBottom w:val="0"/>
      <w:divBdr>
        <w:top w:val="none" w:sz="0" w:space="0" w:color="auto"/>
        <w:left w:val="none" w:sz="0" w:space="0" w:color="auto"/>
        <w:bottom w:val="none" w:sz="0" w:space="0" w:color="auto"/>
        <w:right w:val="none" w:sz="0" w:space="0" w:color="auto"/>
      </w:divBdr>
      <w:divsChild>
        <w:div w:id="1157190874">
          <w:marLeft w:val="0"/>
          <w:marRight w:val="0"/>
          <w:marTop w:val="0"/>
          <w:marBottom w:val="0"/>
          <w:divBdr>
            <w:top w:val="none" w:sz="0" w:space="0" w:color="auto"/>
            <w:left w:val="none" w:sz="0" w:space="0" w:color="auto"/>
            <w:bottom w:val="none" w:sz="0" w:space="0" w:color="auto"/>
            <w:right w:val="none" w:sz="0" w:space="0" w:color="auto"/>
          </w:divBdr>
          <w:divsChild>
            <w:div w:id="1209302433">
              <w:marLeft w:val="0"/>
              <w:marRight w:val="0"/>
              <w:marTop w:val="0"/>
              <w:marBottom w:val="0"/>
              <w:divBdr>
                <w:top w:val="none" w:sz="0" w:space="0" w:color="auto"/>
                <w:left w:val="none" w:sz="0" w:space="0" w:color="auto"/>
                <w:bottom w:val="none" w:sz="0" w:space="0" w:color="auto"/>
                <w:right w:val="none" w:sz="0" w:space="0" w:color="auto"/>
              </w:divBdr>
              <w:divsChild>
                <w:div w:id="14616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411553">
      <w:bodyDiv w:val="1"/>
      <w:marLeft w:val="0"/>
      <w:marRight w:val="0"/>
      <w:marTop w:val="0"/>
      <w:marBottom w:val="0"/>
      <w:divBdr>
        <w:top w:val="none" w:sz="0" w:space="0" w:color="auto"/>
        <w:left w:val="none" w:sz="0" w:space="0" w:color="auto"/>
        <w:bottom w:val="none" w:sz="0" w:space="0" w:color="auto"/>
        <w:right w:val="none" w:sz="0" w:space="0" w:color="auto"/>
      </w:divBdr>
    </w:div>
    <w:div w:id="1685286403">
      <w:bodyDiv w:val="1"/>
      <w:marLeft w:val="0"/>
      <w:marRight w:val="0"/>
      <w:marTop w:val="0"/>
      <w:marBottom w:val="0"/>
      <w:divBdr>
        <w:top w:val="none" w:sz="0" w:space="0" w:color="auto"/>
        <w:left w:val="none" w:sz="0" w:space="0" w:color="auto"/>
        <w:bottom w:val="none" w:sz="0" w:space="0" w:color="auto"/>
        <w:right w:val="none" w:sz="0" w:space="0" w:color="auto"/>
      </w:divBdr>
      <w:divsChild>
        <w:div w:id="423039507">
          <w:marLeft w:val="0"/>
          <w:marRight w:val="0"/>
          <w:marTop w:val="0"/>
          <w:marBottom w:val="0"/>
          <w:divBdr>
            <w:top w:val="none" w:sz="0" w:space="0" w:color="auto"/>
            <w:left w:val="none" w:sz="0" w:space="0" w:color="auto"/>
            <w:bottom w:val="none" w:sz="0" w:space="0" w:color="auto"/>
            <w:right w:val="none" w:sz="0" w:space="0" w:color="auto"/>
          </w:divBdr>
          <w:divsChild>
            <w:div w:id="1167015614">
              <w:marLeft w:val="0"/>
              <w:marRight w:val="0"/>
              <w:marTop w:val="0"/>
              <w:marBottom w:val="0"/>
              <w:divBdr>
                <w:top w:val="none" w:sz="0" w:space="0" w:color="auto"/>
                <w:left w:val="none" w:sz="0" w:space="0" w:color="auto"/>
                <w:bottom w:val="none" w:sz="0" w:space="0" w:color="auto"/>
                <w:right w:val="none" w:sz="0" w:space="0" w:color="auto"/>
              </w:divBdr>
              <w:divsChild>
                <w:div w:id="112087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375929">
      <w:bodyDiv w:val="1"/>
      <w:marLeft w:val="0"/>
      <w:marRight w:val="0"/>
      <w:marTop w:val="0"/>
      <w:marBottom w:val="0"/>
      <w:divBdr>
        <w:top w:val="none" w:sz="0" w:space="0" w:color="auto"/>
        <w:left w:val="none" w:sz="0" w:space="0" w:color="auto"/>
        <w:bottom w:val="none" w:sz="0" w:space="0" w:color="auto"/>
        <w:right w:val="none" w:sz="0" w:space="0" w:color="auto"/>
      </w:divBdr>
      <w:divsChild>
        <w:div w:id="974791702">
          <w:marLeft w:val="0"/>
          <w:marRight w:val="0"/>
          <w:marTop w:val="0"/>
          <w:marBottom w:val="0"/>
          <w:divBdr>
            <w:top w:val="none" w:sz="0" w:space="0" w:color="auto"/>
            <w:left w:val="none" w:sz="0" w:space="0" w:color="auto"/>
            <w:bottom w:val="none" w:sz="0" w:space="0" w:color="auto"/>
            <w:right w:val="none" w:sz="0" w:space="0" w:color="auto"/>
          </w:divBdr>
          <w:divsChild>
            <w:div w:id="204101092">
              <w:marLeft w:val="0"/>
              <w:marRight w:val="0"/>
              <w:marTop w:val="0"/>
              <w:marBottom w:val="0"/>
              <w:divBdr>
                <w:top w:val="none" w:sz="0" w:space="0" w:color="auto"/>
                <w:left w:val="none" w:sz="0" w:space="0" w:color="auto"/>
                <w:bottom w:val="none" w:sz="0" w:space="0" w:color="auto"/>
                <w:right w:val="none" w:sz="0" w:space="0" w:color="auto"/>
              </w:divBdr>
              <w:divsChild>
                <w:div w:id="2067793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997187">
      <w:bodyDiv w:val="1"/>
      <w:marLeft w:val="0"/>
      <w:marRight w:val="0"/>
      <w:marTop w:val="0"/>
      <w:marBottom w:val="0"/>
      <w:divBdr>
        <w:top w:val="none" w:sz="0" w:space="0" w:color="auto"/>
        <w:left w:val="none" w:sz="0" w:space="0" w:color="auto"/>
        <w:bottom w:val="none" w:sz="0" w:space="0" w:color="auto"/>
        <w:right w:val="none" w:sz="0" w:space="0" w:color="auto"/>
      </w:divBdr>
      <w:divsChild>
        <w:div w:id="1902056735">
          <w:marLeft w:val="0"/>
          <w:marRight w:val="0"/>
          <w:marTop w:val="0"/>
          <w:marBottom w:val="0"/>
          <w:divBdr>
            <w:top w:val="none" w:sz="0" w:space="0" w:color="auto"/>
            <w:left w:val="none" w:sz="0" w:space="0" w:color="auto"/>
            <w:bottom w:val="none" w:sz="0" w:space="0" w:color="auto"/>
            <w:right w:val="none" w:sz="0" w:space="0" w:color="auto"/>
          </w:divBdr>
          <w:divsChild>
            <w:div w:id="1686714071">
              <w:marLeft w:val="0"/>
              <w:marRight w:val="0"/>
              <w:marTop w:val="0"/>
              <w:marBottom w:val="0"/>
              <w:divBdr>
                <w:top w:val="none" w:sz="0" w:space="0" w:color="auto"/>
                <w:left w:val="none" w:sz="0" w:space="0" w:color="auto"/>
                <w:bottom w:val="none" w:sz="0" w:space="0" w:color="auto"/>
                <w:right w:val="none" w:sz="0" w:space="0" w:color="auto"/>
              </w:divBdr>
              <w:divsChild>
                <w:div w:id="128348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242215">
      <w:bodyDiv w:val="1"/>
      <w:marLeft w:val="0"/>
      <w:marRight w:val="0"/>
      <w:marTop w:val="0"/>
      <w:marBottom w:val="0"/>
      <w:divBdr>
        <w:top w:val="none" w:sz="0" w:space="0" w:color="auto"/>
        <w:left w:val="none" w:sz="0" w:space="0" w:color="auto"/>
        <w:bottom w:val="none" w:sz="0" w:space="0" w:color="auto"/>
        <w:right w:val="none" w:sz="0" w:space="0" w:color="auto"/>
      </w:divBdr>
    </w:div>
    <w:div w:id="1725106024">
      <w:bodyDiv w:val="1"/>
      <w:marLeft w:val="0"/>
      <w:marRight w:val="0"/>
      <w:marTop w:val="0"/>
      <w:marBottom w:val="0"/>
      <w:divBdr>
        <w:top w:val="none" w:sz="0" w:space="0" w:color="auto"/>
        <w:left w:val="none" w:sz="0" w:space="0" w:color="auto"/>
        <w:bottom w:val="none" w:sz="0" w:space="0" w:color="auto"/>
        <w:right w:val="none" w:sz="0" w:space="0" w:color="auto"/>
      </w:divBdr>
      <w:divsChild>
        <w:div w:id="144511443">
          <w:marLeft w:val="0"/>
          <w:marRight w:val="0"/>
          <w:marTop w:val="0"/>
          <w:marBottom w:val="0"/>
          <w:divBdr>
            <w:top w:val="none" w:sz="0" w:space="0" w:color="auto"/>
            <w:left w:val="none" w:sz="0" w:space="0" w:color="auto"/>
            <w:bottom w:val="none" w:sz="0" w:space="0" w:color="auto"/>
            <w:right w:val="none" w:sz="0" w:space="0" w:color="auto"/>
          </w:divBdr>
          <w:divsChild>
            <w:div w:id="1531912935">
              <w:marLeft w:val="0"/>
              <w:marRight w:val="0"/>
              <w:marTop w:val="0"/>
              <w:marBottom w:val="0"/>
              <w:divBdr>
                <w:top w:val="none" w:sz="0" w:space="0" w:color="auto"/>
                <w:left w:val="none" w:sz="0" w:space="0" w:color="auto"/>
                <w:bottom w:val="none" w:sz="0" w:space="0" w:color="auto"/>
                <w:right w:val="none" w:sz="0" w:space="0" w:color="auto"/>
              </w:divBdr>
              <w:divsChild>
                <w:div w:id="178522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676531">
      <w:bodyDiv w:val="1"/>
      <w:marLeft w:val="0"/>
      <w:marRight w:val="0"/>
      <w:marTop w:val="0"/>
      <w:marBottom w:val="0"/>
      <w:divBdr>
        <w:top w:val="none" w:sz="0" w:space="0" w:color="auto"/>
        <w:left w:val="none" w:sz="0" w:space="0" w:color="auto"/>
        <w:bottom w:val="none" w:sz="0" w:space="0" w:color="auto"/>
        <w:right w:val="none" w:sz="0" w:space="0" w:color="auto"/>
      </w:divBdr>
      <w:divsChild>
        <w:div w:id="1015231668">
          <w:marLeft w:val="0"/>
          <w:marRight w:val="0"/>
          <w:marTop w:val="0"/>
          <w:marBottom w:val="0"/>
          <w:divBdr>
            <w:top w:val="none" w:sz="0" w:space="0" w:color="auto"/>
            <w:left w:val="none" w:sz="0" w:space="0" w:color="auto"/>
            <w:bottom w:val="none" w:sz="0" w:space="0" w:color="auto"/>
            <w:right w:val="none" w:sz="0" w:space="0" w:color="auto"/>
          </w:divBdr>
          <w:divsChild>
            <w:div w:id="1097601026">
              <w:marLeft w:val="0"/>
              <w:marRight w:val="0"/>
              <w:marTop w:val="0"/>
              <w:marBottom w:val="0"/>
              <w:divBdr>
                <w:top w:val="none" w:sz="0" w:space="0" w:color="auto"/>
                <w:left w:val="none" w:sz="0" w:space="0" w:color="auto"/>
                <w:bottom w:val="none" w:sz="0" w:space="0" w:color="auto"/>
                <w:right w:val="none" w:sz="0" w:space="0" w:color="auto"/>
              </w:divBdr>
              <w:divsChild>
                <w:div w:id="50393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702520">
      <w:bodyDiv w:val="1"/>
      <w:marLeft w:val="0"/>
      <w:marRight w:val="0"/>
      <w:marTop w:val="0"/>
      <w:marBottom w:val="0"/>
      <w:divBdr>
        <w:top w:val="none" w:sz="0" w:space="0" w:color="auto"/>
        <w:left w:val="none" w:sz="0" w:space="0" w:color="auto"/>
        <w:bottom w:val="none" w:sz="0" w:space="0" w:color="auto"/>
        <w:right w:val="none" w:sz="0" w:space="0" w:color="auto"/>
      </w:divBdr>
      <w:divsChild>
        <w:div w:id="1152987829">
          <w:marLeft w:val="0"/>
          <w:marRight w:val="0"/>
          <w:marTop w:val="0"/>
          <w:marBottom w:val="0"/>
          <w:divBdr>
            <w:top w:val="none" w:sz="0" w:space="0" w:color="auto"/>
            <w:left w:val="none" w:sz="0" w:space="0" w:color="auto"/>
            <w:bottom w:val="none" w:sz="0" w:space="0" w:color="auto"/>
            <w:right w:val="none" w:sz="0" w:space="0" w:color="auto"/>
          </w:divBdr>
          <w:divsChild>
            <w:div w:id="639698462">
              <w:marLeft w:val="0"/>
              <w:marRight w:val="0"/>
              <w:marTop w:val="0"/>
              <w:marBottom w:val="0"/>
              <w:divBdr>
                <w:top w:val="none" w:sz="0" w:space="0" w:color="auto"/>
                <w:left w:val="none" w:sz="0" w:space="0" w:color="auto"/>
                <w:bottom w:val="none" w:sz="0" w:space="0" w:color="auto"/>
                <w:right w:val="none" w:sz="0" w:space="0" w:color="auto"/>
              </w:divBdr>
              <w:divsChild>
                <w:div w:id="1629627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188941">
      <w:bodyDiv w:val="1"/>
      <w:marLeft w:val="0"/>
      <w:marRight w:val="0"/>
      <w:marTop w:val="0"/>
      <w:marBottom w:val="0"/>
      <w:divBdr>
        <w:top w:val="none" w:sz="0" w:space="0" w:color="auto"/>
        <w:left w:val="none" w:sz="0" w:space="0" w:color="auto"/>
        <w:bottom w:val="none" w:sz="0" w:space="0" w:color="auto"/>
        <w:right w:val="none" w:sz="0" w:space="0" w:color="auto"/>
      </w:divBdr>
      <w:divsChild>
        <w:div w:id="266546575">
          <w:marLeft w:val="0"/>
          <w:marRight w:val="0"/>
          <w:marTop w:val="0"/>
          <w:marBottom w:val="0"/>
          <w:divBdr>
            <w:top w:val="none" w:sz="0" w:space="0" w:color="auto"/>
            <w:left w:val="none" w:sz="0" w:space="0" w:color="auto"/>
            <w:bottom w:val="none" w:sz="0" w:space="0" w:color="auto"/>
            <w:right w:val="none" w:sz="0" w:space="0" w:color="auto"/>
          </w:divBdr>
          <w:divsChild>
            <w:div w:id="813451042">
              <w:marLeft w:val="0"/>
              <w:marRight w:val="0"/>
              <w:marTop w:val="0"/>
              <w:marBottom w:val="0"/>
              <w:divBdr>
                <w:top w:val="none" w:sz="0" w:space="0" w:color="auto"/>
                <w:left w:val="none" w:sz="0" w:space="0" w:color="auto"/>
                <w:bottom w:val="none" w:sz="0" w:space="0" w:color="auto"/>
                <w:right w:val="none" w:sz="0" w:space="0" w:color="auto"/>
              </w:divBdr>
              <w:divsChild>
                <w:div w:id="213420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079124">
      <w:bodyDiv w:val="1"/>
      <w:marLeft w:val="0"/>
      <w:marRight w:val="0"/>
      <w:marTop w:val="0"/>
      <w:marBottom w:val="0"/>
      <w:divBdr>
        <w:top w:val="none" w:sz="0" w:space="0" w:color="auto"/>
        <w:left w:val="none" w:sz="0" w:space="0" w:color="auto"/>
        <w:bottom w:val="none" w:sz="0" w:space="0" w:color="auto"/>
        <w:right w:val="none" w:sz="0" w:space="0" w:color="auto"/>
      </w:divBdr>
      <w:divsChild>
        <w:div w:id="138614515">
          <w:marLeft w:val="0"/>
          <w:marRight w:val="0"/>
          <w:marTop w:val="0"/>
          <w:marBottom w:val="0"/>
          <w:divBdr>
            <w:top w:val="none" w:sz="0" w:space="0" w:color="auto"/>
            <w:left w:val="none" w:sz="0" w:space="0" w:color="auto"/>
            <w:bottom w:val="none" w:sz="0" w:space="0" w:color="auto"/>
            <w:right w:val="none" w:sz="0" w:space="0" w:color="auto"/>
          </w:divBdr>
          <w:divsChild>
            <w:div w:id="1480882355">
              <w:marLeft w:val="0"/>
              <w:marRight w:val="0"/>
              <w:marTop w:val="0"/>
              <w:marBottom w:val="0"/>
              <w:divBdr>
                <w:top w:val="none" w:sz="0" w:space="0" w:color="auto"/>
                <w:left w:val="none" w:sz="0" w:space="0" w:color="auto"/>
                <w:bottom w:val="none" w:sz="0" w:space="0" w:color="auto"/>
                <w:right w:val="none" w:sz="0" w:space="0" w:color="auto"/>
              </w:divBdr>
              <w:divsChild>
                <w:div w:id="1328900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839757">
      <w:bodyDiv w:val="1"/>
      <w:marLeft w:val="0"/>
      <w:marRight w:val="0"/>
      <w:marTop w:val="0"/>
      <w:marBottom w:val="0"/>
      <w:divBdr>
        <w:top w:val="none" w:sz="0" w:space="0" w:color="auto"/>
        <w:left w:val="none" w:sz="0" w:space="0" w:color="auto"/>
        <w:bottom w:val="none" w:sz="0" w:space="0" w:color="auto"/>
        <w:right w:val="none" w:sz="0" w:space="0" w:color="auto"/>
      </w:divBdr>
      <w:divsChild>
        <w:div w:id="2096245432">
          <w:marLeft w:val="0"/>
          <w:marRight w:val="0"/>
          <w:marTop w:val="0"/>
          <w:marBottom w:val="0"/>
          <w:divBdr>
            <w:top w:val="none" w:sz="0" w:space="0" w:color="auto"/>
            <w:left w:val="none" w:sz="0" w:space="0" w:color="auto"/>
            <w:bottom w:val="none" w:sz="0" w:space="0" w:color="auto"/>
            <w:right w:val="none" w:sz="0" w:space="0" w:color="auto"/>
          </w:divBdr>
          <w:divsChild>
            <w:div w:id="1963805624">
              <w:marLeft w:val="0"/>
              <w:marRight w:val="0"/>
              <w:marTop w:val="0"/>
              <w:marBottom w:val="0"/>
              <w:divBdr>
                <w:top w:val="none" w:sz="0" w:space="0" w:color="auto"/>
                <w:left w:val="none" w:sz="0" w:space="0" w:color="auto"/>
                <w:bottom w:val="none" w:sz="0" w:space="0" w:color="auto"/>
                <w:right w:val="none" w:sz="0" w:space="0" w:color="auto"/>
              </w:divBdr>
              <w:divsChild>
                <w:div w:id="123897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909786">
      <w:bodyDiv w:val="1"/>
      <w:marLeft w:val="0"/>
      <w:marRight w:val="0"/>
      <w:marTop w:val="0"/>
      <w:marBottom w:val="0"/>
      <w:divBdr>
        <w:top w:val="none" w:sz="0" w:space="0" w:color="auto"/>
        <w:left w:val="none" w:sz="0" w:space="0" w:color="auto"/>
        <w:bottom w:val="none" w:sz="0" w:space="0" w:color="auto"/>
        <w:right w:val="none" w:sz="0" w:space="0" w:color="auto"/>
      </w:divBdr>
    </w:div>
    <w:div w:id="1896237126">
      <w:bodyDiv w:val="1"/>
      <w:marLeft w:val="0"/>
      <w:marRight w:val="0"/>
      <w:marTop w:val="0"/>
      <w:marBottom w:val="0"/>
      <w:divBdr>
        <w:top w:val="none" w:sz="0" w:space="0" w:color="auto"/>
        <w:left w:val="none" w:sz="0" w:space="0" w:color="auto"/>
        <w:bottom w:val="none" w:sz="0" w:space="0" w:color="auto"/>
        <w:right w:val="none" w:sz="0" w:space="0" w:color="auto"/>
      </w:divBdr>
    </w:div>
    <w:div w:id="1939286693">
      <w:bodyDiv w:val="1"/>
      <w:marLeft w:val="0"/>
      <w:marRight w:val="0"/>
      <w:marTop w:val="0"/>
      <w:marBottom w:val="0"/>
      <w:divBdr>
        <w:top w:val="none" w:sz="0" w:space="0" w:color="auto"/>
        <w:left w:val="none" w:sz="0" w:space="0" w:color="auto"/>
        <w:bottom w:val="none" w:sz="0" w:space="0" w:color="auto"/>
        <w:right w:val="none" w:sz="0" w:space="0" w:color="auto"/>
      </w:divBdr>
      <w:divsChild>
        <w:div w:id="1110276134">
          <w:marLeft w:val="0"/>
          <w:marRight w:val="0"/>
          <w:marTop w:val="0"/>
          <w:marBottom w:val="0"/>
          <w:divBdr>
            <w:top w:val="none" w:sz="0" w:space="0" w:color="auto"/>
            <w:left w:val="none" w:sz="0" w:space="0" w:color="auto"/>
            <w:bottom w:val="none" w:sz="0" w:space="0" w:color="auto"/>
            <w:right w:val="none" w:sz="0" w:space="0" w:color="auto"/>
          </w:divBdr>
          <w:divsChild>
            <w:div w:id="517425686">
              <w:marLeft w:val="0"/>
              <w:marRight w:val="0"/>
              <w:marTop w:val="0"/>
              <w:marBottom w:val="0"/>
              <w:divBdr>
                <w:top w:val="none" w:sz="0" w:space="0" w:color="auto"/>
                <w:left w:val="none" w:sz="0" w:space="0" w:color="auto"/>
                <w:bottom w:val="none" w:sz="0" w:space="0" w:color="auto"/>
                <w:right w:val="none" w:sz="0" w:space="0" w:color="auto"/>
              </w:divBdr>
              <w:divsChild>
                <w:div w:id="108141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593050">
      <w:bodyDiv w:val="1"/>
      <w:marLeft w:val="0"/>
      <w:marRight w:val="0"/>
      <w:marTop w:val="0"/>
      <w:marBottom w:val="0"/>
      <w:divBdr>
        <w:top w:val="none" w:sz="0" w:space="0" w:color="auto"/>
        <w:left w:val="none" w:sz="0" w:space="0" w:color="auto"/>
        <w:bottom w:val="none" w:sz="0" w:space="0" w:color="auto"/>
        <w:right w:val="none" w:sz="0" w:space="0" w:color="auto"/>
      </w:divBdr>
      <w:divsChild>
        <w:div w:id="929392236">
          <w:marLeft w:val="0"/>
          <w:marRight w:val="0"/>
          <w:marTop w:val="0"/>
          <w:marBottom w:val="0"/>
          <w:divBdr>
            <w:top w:val="none" w:sz="0" w:space="0" w:color="auto"/>
            <w:left w:val="none" w:sz="0" w:space="0" w:color="auto"/>
            <w:bottom w:val="none" w:sz="0" w:space="0" w:color="auto"/>
            <w:right w:val="none" w:sz="0" w:space="0" w:color="auto"/>
          </w:divBdr>
          <w:divsChild>
            <w:div w:id="173539910">
              <w:marLeft w:val="0"/>
              <w:marRight w:val="0"/>
              <w:marTop w:val="0"/>
              <w:marBottom w:val="0"/>
              <w:divBdr>
                <w:top w:val="none" w:sz="0" w:space="0" w:color="auto"/>
                <w:left w:val="none" w:sz="0" w:space="0" w:color="auto"/>
                <w:bottom w:val="none" w:sz="0" w:space="0" w:color="auto"/>
                <w:right w:val="none" w:sz="0" w:space="0" w:color="auto"/>
              </w:divBdr>
              <w:divsChild>
                <w:div w:id="138899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962368">
      <w:bodyDiv w:val="1"/>
      <w:marLeft w:val="0"/>
      <w:marRight w:val="0"/>
      <w:marTop w:val="0"/>
      <w:marBottom w:val="0"/>
      <w:divBdr>
        <w:top w:val="none" w:sz="0" w:space="0" w:color="auto"/>
        <w:left w:val="none" w:sz="0" w:space="0" w:color="auto"/>
        <w:bottom w:val="none" w:sz="0" w:space="0" w:color="auto"/>
        <w:right w:val="none" w:sz="0" w:space="0" w:color="auto"/>
      </w:divBdr>
    </w:div>
    <w:div w:id="2009676649">
      <w:bodyDiv w:val="1"/>
      <w:marLeft w:val="0"/>
      <w:marRight w:val="0"/>
      <w:marTop w:val="0"/>
      <w:marBottom w:val="0"/>
      <w:divBdr>
        <w:top w:val="none" w:sz="0" w:space="0" w:color="auto"/>
        <w:left w:val="none" w:sz="0" w:space="0" w:color="auto"/>
        <w:bottom w:val="none" w:sz="0" w:space="0" w:color="auto"/>
        <w:right w:val="none" w:sz="0" w:space="0" w:color="auto"/>
      </w:divBdr>
      <w:divsChild>
        <w:div w:id="762383531">
          <w:marLeft w:val="0"/>
          <w:marRight w:val="0"/>
          <w:marTop w:val="0"/>
          <w:marBottom w:val="0"/>
          <w:divBdr>
            <w:top w:val="none" w:sz="0" w:space="0" w:color="auto"/>
            <w:left w:val="none" w:sz="0" w:space="0" w:color="auto"/>
            <w:bottom w:val="none" w:sz="0" w:space="0" w:color="auto"/>
            <w:right w:val="none" w:sz="0" w:space="0" w:color="auto"/>
          </w:divBdr>
          <w:divsChild>
            <w:div w:id="2090349739">
              <w:marLeft w:val="0"/>
              <w:marRight w:val="0"/>
              <w:marTop w:val="0"/>
              <w:marBottom w:val="0"/>
              <w:divBdr>
                <w:top w:val="none" w:sz="0" w:space="0" w:color="auto"/>
                <w:left w:val="none" w:sz="0" w:space="0" w:color="auto"/>
                <w:bottom w:val="none" w:sz="0" w:space="0" w:color="auto"/>
                <w:right w:val="none" w:sz="0" w:space="0" w:color="auto"/>
              </w:divBdr>
              <w:divsChild>
                <w:div w:id="149981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054477">
      <w:bodyDiv w:val="1"/>
      <w:marLeft w:val="0"/>
      <w:marRight w:val="0"/>
      <w:marTop w:val="0"/>
      <w:marBottom w:val="0"/>
      <w:divBdr>
        <w:top w:val="none" w:sz="0" w:space="0" w:color="auto"/>
        <w:left w:val="none" w:sz="0" w:space="0" w:color="auto"/>
        <w:bottom w:val="none" w:sz="0" w:space="0" w:color="auto"/>
        <w:right w:val="none" w:sz="0" w:space="0" w:color="auto"/>
      </w:divBdr>
    </w:div>
    <w:div w:id="2109546807">
      <w:bodyDiv w:val="1"/>
      <w:marLeft w:val="0"/>
      <w:marRight w:val="0"/>
      <w:marTop w:val="0"/>
      <w:marBottom w:val="0"/>
      <w:divBdr>
        <w:top w:val="none" w:sz="0" w:space="0" w:color="auto"/>
        <w:left w:val="none" w:sz="0" w:space="0" w:color="auto"/>
        <w:bottom w:val="none" w:sz="0" w:space="0" w:color="auto"/>
        <w:right w:val="none" w:sz="0" w:space="0" w:color="auto"/>
      </w:divBdr>
      <w:divsChild>
        <w:div w:id="1257011709">
          <w:marLeft w:val="0"/>
          <w:marRight w:val="0"/>
          <w:marTop w:val="0"/>
          <w:marBottom w:val="0"/>
          <w:divBdr>
            <w:top w:val="none" w:sz="0" w:space="0" w:color="auto"/>
            <w:left w:val="none" w:sz="0" w:space="0" w:color="auto"/>
            <w:bottom w:val="none" w:sz="0" w:space="0" w:color="auto"/>
            <w:right w:val="none" w:sz="0" w:space="0" w:color="auto"/>
          </w:divBdr>
          <w:divsChild>
            <w:div w:id="795492942">
              <w:marLeft w:val="0"/>
              <w:marRight w:val="0"/>
              <w:marTop w:val="0"/>
              <w:marBottom w:val="0"/>
              <w:divBdr>
                <w:top w:val="none" w:sz="0" w:space="0" w:color="auto"/>
                <w:left w:val="none" w:sz="0" w:space="0" w:color="auto"/>
                <w:bottom w:val="none" w:sz="0" w:space="0" w:color="auto"/>
                <w:right w:val="none" w:sz="0" w:space="0" w:color="auto"/>
              </w:divBdr>
              <w:divsChild>
                <w:div w:id="16063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502030">
      <w:bodyDiv w:val="1"/>
      <w:marLeft w:val="0"/>
      <w:marRight w:val="0"/>
      <w:marTop w:val="0"/>
      <w:marBottom w:val="0"/>
      <w:divBdr>
        <w:top w:val="none" w:sz="0" w:space="0" w:color="auto"/>
        <w:left w:val="none" w:sz="0" w:space="0" w:color="auto"/>
        <w:bottom w:val="none" w:sz="0" w:space="0" w:color="auto"/>
        <w:right w:val="none" w:sz="0" w:space="0" w:color="auto"/>
      </w:divBdr>
    </w:div>
    <w:div w:id="21307809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s://doi.org/10.1093/jcsl/krac0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38</Pages>
  <Words>12002</Words>
  <Characters>68418</Characters>
  <Application>Microsoft Office Word</Application>
  <DocSecurity>0</DocSecurity>
  <Lines>570</Lines>
  <Paragraphs>160</Paragraphs>
  <ScaleCrop>false</ScaleCrop>
  <Company/>
  <LinksUpToDate>false</LinksUpToDate>
  <CharactersWithSpaces>80260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Swaine,A</cp:lastModifiedBy>
  <cp:revision>5</cp:revision>
  <dcterms:created xsi:type="dcterms:W3CDTF">2023-01-23T14:57:00Z</dcterms:created>
  <dcterms:modified xsi:type="dcterms:W3CDTF">2023-02-09T14:25:00Z</dcterms:modified>
</cp:coreProperties>
</file>