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7B2B73" w14:textId="77777777" w:rsidR="00CF6C7C" w:rsidRPr="003C243E" w:rsidRDefault="00CF6C7C" w:rsidP="00A2083B">
      <w:pPr>
        <w:pStyle w:val="KnigNeu"/>
        <w:ind w:firstLine="0"/>
        <w:rPr>
          <w:szCs w:val="20"/>
          <w:lang w:val="de-DE"/>
        </w:rPr>
      </w:pPr>
      <w:r w:rsidRPr="003C243E">
        <w:rPr>
          <w:szCs w:val="20"/>
          <w:lang w:val="de-DE"/>
        </w:rPr>
        <w:t>Joseph Twist</w:t>
      </w:r>
    </w:p>
    <w:p w14:paraId="343ED669" w14:textId="77777777" w:rsidR="00A2083B" w:rsidRPr="003C243E" w:rsidRDefault="00A2083B" w:rsidP="00A2083B">
      <w:pPr>
        <w:pStyle w:val="KnigNeu"/>
        <w:ind w:firstLine="0"/>
        <w:rPr>
          <w:szCs w:val="20"/>
          <w:lang w:val="de-DE"/>
        </w:rPr>
      </w:pPr>
    </w:p>
    <w:p w14:paraId="69B448E4" w14:textId="67A82EC6" w:rsidR="00CF6C7C" w:rsidRPr="003C243E" w:rsidRDefault="00CF6C7C" w:rsidP="00A2083B">
      <w:pPr>
        <w:pStyle w:val="KnigNeu"/>
        <w:ind w:firstLine="0"/>
        <w:rPr>
          <w:b/>
          <w:szCs w:val="20"/>
          <w:lang w:val="de-DE"/>
        </w:rPr>
      </w:pPr>
      <w:r w:rsidRPr="003C243E">
        <w:rPr>
          <w:b/>
          <w:szCs w:val="20"/>
          <w:lang w:val="de-DE"/>
        </w:rPr>
        <w:t xml:space="preserve">„es kostet Sinn und Zeit / die Sphären zu einen“: Das Selbst und der Andere, der Himmel und die Erde in Zafer Şenocaks </w:t>
      </w:r>
      <w:r w:rsidRPr="003C243E">
        <w:rPr>
          <w:b/>
          <w:i/>
          <w:szCs w:val="20"/>
          <w:lang w:val="de-DE"/>
        </w:rPr>
        <w:t>Übergang</w:t>
      </w:r>
    </w:p>
    <w:p w14:paraId="445D4F5C" w14:textId="77777777" w:rsidR="00CF6C7C" w:rsidRPr="003C243E" w:rsidRDefault="00CF6C7C" w:rsidP="00A2083B">
      <w:pPr>
        <w:pStyle w:val="KnigNeu"/>
        <w:ind w:firstLine="0"/>
        <w:rPr>
          <w:b/>
          <w:szCs w:val="20"/>
          <w:lang w:val="de-DE"/>
        </w:rPr>
      </w:pPr>
    </w:p>
    <w:p w14:paraId="4ABA51EA" w14:textId="77777777" w:rsidR="00CF6C7C" w:rsidRPr="003C243E" w:rsidRDefault="00CF6C7C" w:rsidP="00A2083B">
      <w:pPr>
        <w:pStyle w:val="KnigNeu"/>
        <w:ind w:firstLine="0"/>
        <w:rPr>
          <w:b/>
          <w:szCs w:val="20"/>
          <w:lang w:val="de-DE"/>
        </w:rPr>
      </w:pPr>
      <w:r w:rsidRPr="003C243E">
        <w:rPr>
          <w:b/>
          <w:szCs w:val="20"/>
          <w:lang w:val="de-DE"/>
        </w:rPr>
        <w:t>Einleitung</w:t>
      </w:r>
    </w:p>
    <w:p w14:paraId="68E56183" w14:textId="77777777" w:rsidR="00CF6C7C" w:rsidRPr="003C243E" w:rsidRDefault="00CF6C7C" w:rsidP="00A2083B">
      <w:pPr>
        <w:pStyle w:val="KnigNeu"/>
        <w:ind w:firstLine="0"/>
        <w:rPr>
          <w:szCs w:val="20"/>
          <w:lang w:val="de-DE"/>
        </w:rPr>
      </w:pPr>
    </w:p>
    <w:p w14:paraId="5D241726" w14:textId="4C1EC91F" w:rsidR="00CF6C7C" w:rsidRPr="003C243E" w:rsidRDefault="00CF6C7C" w:rsidP="00AE3017">
      <w:pPr>
        <w:pStyle w:val="KnigNeu"/>
        <w:ind w:firstLine="0"/>
        <w:rPr>
          <w:bCs/>
          <w:iCs/>
          <w:szCs w:val="20"/>
          <w:lang w:val="de-DE"/>
        </w:rPr>
      </w:pPr>
      <w:r w:rsidRPr="003C243E">
        <w:rPr>
          <w:szCs w:val="20"/>
          <w:lang w:val="de-DE"/>
        </w:rPr>
        <w:t xml:space="preserve">Zafer Şenocak (geb. 1961) wies schon 1990 im Essay „Deutschland – Heimat für Türken? Ein Plädoyer für die Überwindung der Krise zwischen Okzident und Orient“ darauf hin, dass der Islam langsam wieder </w:t>
      </w:r>
      <w:r w:rsidR="00A57AE4" w:rsidRPr="003C243E">
        <w:rPr>
          <w:rFonts w:cs="Times New Roman"/>
          <w:szCs w:val="20"/>
          <w:lang w:val="de-DE"/>
        </w:rPr>
        <w:t xml:space="preserve">dabei war, </w:t>
      </w:r>
      <w:r w:rsidR="008A5608" w:rsidRPr="003C243E">
        <w:rPr>
          <w:szCs w:val="20"/>
          <w:lang w:val="de-DE"/>
        </w:rPr>
        <w:t xml:space="preserve">in Europa </w:t>
      </w:r>
      <w:r w:rsidR="009F44AB" w:rsidRPr="003C243E">
        <w:rPr>
          <w:szCs w:val="20"/>
          <w:lang w:val="de-DE"/>
        </w:rPr>
        <w:t>zu</w:t>
      </w:r>
      <w:r w:rsidR="00A57AE4" w:rsidRPr="003C243E">
        <w:rPr>
          <w:szCs w:val="20"/>
          <w:lang w:val="de-DE"/>
        </w:rPr>
        <w:t xml:space="preserve"> einem Streit</w:t>
      </w:r>
      <w:r w:rsidR="008A5608" w:rsidRPr="003C243E">
        <w:rPr>
          <w:szCs w:val="20"/>
          <w:lang w:val="de-DE"/>
        </w:rPr>
        <w:t xml:space="preserve">punkt </w:t>
      </w:r>
      <w:r w:rsidR="00A57AE4" w:rsidRPr="003C243E">
        <w:rPr>
          <w:szCs w:val="20"/>
          <w:lang w:val="de-DE"/>
        </w:rPr>
        <w:t>zu werden</w:t>
      </w:r>
      <w:r w:rsidRPr="003C243E">
        <w:rPr>
          <w:szCs w:val="20"/>
          <w:lang w:val="de-DE"/>
        </w:rPr>
        <w:t>.</w:t>
      </w:r>
      <w:r w:rsidRPr="003C243E">
        <w:rPr>
          <w:rStyle w:val="FootnoteReference"/>
          <w:szCs w:val="20"/>
          <w:lang w:val="de-DE"/>
        </w:rPr>
        <w:footnoteReference w:id="1"/>
      </w:r>
      <w:r w:rsidRPr="003C243E">
        <w:rPr>
          <w:szCs w:val="20"/>
          <w:lang w:val="de-DE"/>
        </w:rPr>
        <w:t xml:space="preserve"> Nach den islamistischen Terroranschlägen vom 11. September 2001 in den USA stehen die Muslime Deutschlands (und im Allgemeinen) unter zunehmendem Verdacht und, wie die Untersuchung</w:t>
      </w:r>
      <w:r w:rsidR="00A57AE4" w:rsidRPr="003C243E">
        <w:rPr>
          <w:szCs w:val="20"/>
          <w:lang w:val="de-DE"/>
        </w:rPr>
        <w:t xml:space="preserve"> von</w:t>
      </w:r>
      <w:r w:rsidRPr="003C243E">
        <w:rPr>
          <w:szCs w:val="20"/>
          <w:lang w:val="de-DE"/>
        </w:rPr>
        <w:t xml:space="preserve"> Reim Spielhaus</w:t>
      </w:r>
      <w:r w:rsidRPr="003C243E">
        <w:rPr>
          <w:bCs/>
          <w:iCs/>
          <w:szCs w:val="20"/>
          <w:lang w:val="de-DE"/>
        </w:rPr>
        <w:t xml:space="preserve"> aufzeigt, ersetzt die Bezeichnung minderheitlicher Deutscher als „Muslim“ nach 9/11 immer mehr die früher häufig verwendeten Etik</w:t>
      </w:r>
      <w:r w:rsidR="009F44AB" w:rsidRPr="003C243E">
        <w:rPr>
          <w:bCs/>
          <w:iCs/>
          <w:szCs w:val="20"/>
          <w:lang w:val="de-DE"/>
        </w:rPr>
        <w:t>ettierungen</w:t>
      </w:r>
      <w:r w:rsidRPr="003C243E">
        <w:rPr>
          <w:bCs/>
          <w:iCs/>
          <w:szCs w:val="20"/>
          <w:lang w:val="de-DE"/>
        </w:rPr>
        <w:t xml:space="preserve"> wie „Gastarbeiter“, „Migrant“ </w:t>
      </w:r>
      <w:r w:rsidR="00A57AE4" w:rsidRPr="003C243E">
        <w:rPr>
          <w:bCs/>
          <w:iCs/>
          <w:szCs w:val="20"/>
          <w:lang w:val="de-DE"/>
        </w:rPr>
        <w:t>oder</w:t>
      </w:r>
      <w:r w:rsidR="00AE3017" w:rsidRPr="003C243E">
        <w:rPr>
          <w:bCs/>
          <w:iCs/>
          <w:szCs w:val="20"/>
          <w:lang w:val="de-DE"/>
        </w:rPr>
        <w:t xml:space="preserve"> </w:t>
      </w:r>
      <w:r w:rsidRPr="003C243E">
        <w:rPr>
          <w:bCs/>
          <w:iCs/>
          <w:szCs w:val="20"/>
          <w:lang w:val="de-DE"/>
        </w:rPr>
        <w:t>„Türke“.</w:t>
      </w:r>
      <w:r w:rsidRPr="003C243E">
        <w:rPr>
          <w:rStyle w:val="FootnoteReference"/>
          <w:bCs/>
          <w:iCs/>
          <w:szCs w:val="20"/>
          <w:lang w:val="de-DE"/>
        </w:rPr>
        <w:footnoteReference w:id="2"/>
      </w:r>
      <w:r w:rsidRPr="003C243E">
        <w:rPr>
          <w:bCs/>
          <w:iCs/>
          <w:szCs w:val="20"/>
          <w:lang w:val="de-DE"/>
        </w:rPr>
        <w:t xml:space="preserve"> Diese</w:t>
      </w:r>
      <w:r w:rsidR="00A57AE4" w:rsidRPr="003C243E">
        <w:rPr>
          <w:bCs/>
          <w:iCs/>
          <w:szCs w:val="20"/>
          <w:lang w:val="de-DE"/>
        </w:rPr>
        <w:t>s</w:t>
      </w:r>
      <w:r w:rsidRPr="003C243E">
        <w:rPr>
          <w:bCs/>
          <w:iCs/>
          <w:szCs w:val="20"/>
          <w:lang w:val="de-DE"/>
        </w:rPr>
        <w:t xml:space="preserve"> </w:t>
      </w:r>
      <w:r w:rsidR="008A5608" w:rsidRPr="003C243E">
        <w:rPr>
          <w:bCs/>
          <w:iCs/>
          <w:szCs w:val="20"/>
          <w:lang w:val="de-DE"/>
        </w:rPr>
        <w:t xml:space="preserve">neue </w:t>
      </w:r>
      <w:r w:rsidRPr="003C243E">
        <w:rPr>
          <w:bCs/>
          <w:iCs/>
          <w:szCs w:val="20"/>
          <w:lang w:val="de-DE"/>
        </w:rPr>
        <w:t xml:space="preserve">Etikett </w:t>
      </w:r>
      <w:r w:rsidR="00847B1A" w:rsidRPr="003C243E">
        <w:rPr>
          <w:rFonts w:cs="Times New Roman"/>
          <w:bCs/>
          <w:iCs/>
          <w:szCs w:val="20"/>
          <w:lang w:val="de-DE"/>
        </w:rPr>
        <w:t xml:space="preserve">ist </w:t>
      </w:r>
      <w:r w:rsidRPr="003C243E">
        <w:rPr>
          <w:bCs/>
          <w:iCs/>
          <w:szCs w:val="20"/>
          <w:lang w:val="de-DE"/>
        </w:rPr>
        <w:t xml:space="preserve">genauso einschränkend </w:t>
      </w:r>
      <w:r w:rsidR="008A5608" w:rsidRPr="003C243E">
        <w:rPr>
          <w:bCs/>
          <w:iCs/>
          <w:szCs w:val="20"/>
          <w:lang w:val="de-DE"/>
        </w:rPr>
        <w:t xml:space="preserve">wie </w:t>
      </w:r>
      <w:r w:rsidR="00A57AE4" w:rsidRPr="003C243E">
        <w:rPr>
          <w:bCs/>
          <w:iCs/>
          <w:szCs w:val="20"/>
          <w:lang w:val="de-DE"/>
        </w:rPr>
        <w:t xml:space="preserve">es </w:t>
      </w:r>
      <w:r w:rsidR="008A5608" w:rsidRPr="003C243E">
        <w:rPr>
          <w:bCs/>
          <w:iCs/>
          <w:szCs w:val="20"/>
          <w:lang w:val="de-DE"/>
        </w:rPr>
        <w:t>die alten</w:t>
      </w:r>
      <w:r w:rsidR="00A57AE4" w:rsidRPr="003C243E">
        <w:rPr>
          <w:bCs/>
          <w:iCs/>
          <w:szCs w:val="20"/>
          <w:lang w:val="de-DE"/>
        </w:rPr>
        <w:t xml:space="preserve"> </w:t>
      </w:r>
      <w:r w:rsidR="009F44AB" w:rsidRPr="003C243E">
        <w:rPr>
          <w:bCs/>
          <w:iCs/>
          <w:szCs w:val="20"/>
          <w:lang w:val="de-DE"/>
        </w:rPr>
        <w:t>Et</w:t>
      </w:r>
      <w:r w:rsidR="00A57AE4" w:rsidRPr="003C243E">
        <w:rPr>
          <w:bCs/>
          <w:iCs/>
          <w:szCs w:val="20"/>
          <w:lang w:val="de-DE"/>
        </w:rPr>
        <w:t>iket</w:t>
      </w:r>
      <w:r w:rsidR="009F44AB" w:rsidRPr="003C243E">
        <w:rPr>
          <w:bCs/>
          <w:iCs/>
          <w:szCs w:val="20"/>
          <w:lang w:val="de-DE"/>
        </w:rPr>
        <w:t>t</w:t>
      </w:r>
      <w:r w:rsidR="00A57AE4" w:rsidRPr="003C243E">
        <w:rPr>
          <w:bCs/>
          <w:iCs/>
          <w:szCs w:val="20"/>
          <w:lang w:val="de-DE"/>
        </w:rPr>
        <w:t>ierungen</w:t>
      </w:r>
      <w:r w:rsidR="008A5608" w:rsidRPr="003C243E">
        <w:rPr>
          <w:bCs/>
          <w:iCs/>
          <w:szCs w:val="20"/>
          <w:lang w:val="de-DE"/>
        </w:rPr>
        <w:t xml:space="preserve"> sind</w:t>
      </w:r>
      <w:r w:rsidR="00A57AE4" w:rsidRPr="003C243E">
        <w:rPr>
          <w:bCs/>
          <w:iCs/>
          <w:szCs w:val="20"/>
          <w:lang w:val="de-DE"/>
        </w:rPr>
        <w:t xml:space="preserve">, </w:t>
      </w:r>
      <w:r w:rsidRPr="003C243E">
        <w:rPr>
          <w:bCs/>
          <w:iCs/>
          <w:szCs w:val="20"/>
          <w:lang w:val="de-DE"/>
        </w:rPr>
        <w:t>aber die Bezeichnung Muslim führt</w:t>
      </w:r>
      <w:r w:rsidR="002E2A21" w:rsidRPr="003C243E">
        <w:rPr>
          <w:bCs/>
          <w:iCs/>
          <w:szCs w:val="20"/>
          <w:lang w:val="de-DE"/>
        </w:rPr>
        <w:t xml:space="preserve"> zudem</w:t>
      </w:r>
      <w:r w:rsidRPr="003C243E">
        <w:rPr>
          <w:bCs/>
          <w:iCs/>
          <w:szCs w:val="20"/>
          <w:lang w:val="de-DE"/>
        </w:rPr>
        <w:t xml:space="preserve"> </w:t>
      </w:r>
      <w:r w:rsidR="008A5608" w:rsidRPr="003C243E">
        <w:rPr>
          <w:bCs/>
          <w:iCs/>
          <w:szCs w:val="20"/>
          <w:lang w:val="de-DE"/>
        </w:rPr>
        <w:t xml:space="preserve">zur diskriminierenden </w:t>
      </w:r>
      <w:r w:rsidRPr="003C243E">
        <w:rPr>
          <w:bCs/>
          <w:iCs/>
          <w:szCs w:val="20"/>
          <w:lang w:val="de-DE"/>
        </w:rPr>
        <w:t>Verknüpfung zwischen (vermuteten) muslimischen Bürgern und Terroristen aus aller Welt, wie Yasemin Yildiz argumentiert.</w:t>
      </w:r>
      <w:r w:rsidRPr="003C243E">
        <w:rPr>
          <w:rStyle w:val="FootnoteReference"/>
          <w:szCs w:val="20"/>
          <w:lang w:val="de-DE"/>
        </w:rPr>
        <w:footnoteReference w:id="3"/>
      </w:r>
    </w:p>
    <w:p w14:paraId="2095DC76" w14:textId="109F48E3" w:rsidR="00CF6C7C" w:rsidRPr="003C243E" w:rsidRDefault="00CF6C7C" w:rsidP="00694CE1">
      <w:pPr>
        <w:pStyle w:val="KnigNeu"/>
        <w:rPr>
          <w:bCs/>
          <w:iCs/>
          <w:szCs w:val="20"/>
          <w:lang w:val="de-DE"/>
        </w:rPr>
      </w:pPr>
      <w:r w:rsidRPr="003C243E">
        <w:rPr>
          <w:bCs/>
          <w:iCs/>
          <w:szCs w:val="20"/>
          <w:lang w:val="de-DE"/>
        </w:rPr>
        <w:t xml:space="preserve">In Erwiderung auf diese Polarisierung in der deutschen Gesellschaft rückt der Islam immer mehr ins Zentrum des essayistischen Schreibens </w:t>
      </w:r>
      <w:r w:rsidRPr="003C243E">
        <w:rPr>
          <w:szCs w:val="20"/>
          <w:lang w:val="de-DE"/>
        </w:rPr>
        <w:t xml:space="preserve">Şenocaks und </w:t>
      </w:r>
      <w:r w:rsidR="002E2A21" w:rsidRPr="003C243E">
        <w:rPr>
          <w:szCs w:val="20"/>
          <w:lang w:val="de-DE"/>
        </w:rPr>
        <w:t xml:space="preserve">der Autor </w:t>
      </w:r>
      <w:r w:rsidRPr="003C243E">
        <w:rPr>
          <w:szCs w:val="20"/>
          <w:lang w:val="de-DE"/>
        </w:rPr>
        <w:t xml:space="preserve">wird mit steigender Häufigkeit dazu aufgefordert, als Islamexperte in den Medien aufzutreten, wie die Essaybände </w:t>
      </w:r>
      <w:r w:rsidRPr="003C243E">
        <w:rPr>
          <w:i/>
          <w:szCs w:val="20"/>
          <w:lang w:val="de-DE"/>
        </w:rPr>
        <w:t>Das Land Hinter den Buchstaben: Deutschland und der Islam im Umbruch</w:t>
      </w:r>
      <w:r w:rsidRPr="003C243E">
        <w:rPr>
          <w:szCs w:val="20"/>
          <w:lang w:val="de-DE"/>
        </w:rPr>
        <w:t xml:space="preserve"> (2006) und </w:t>
      </w:r>
      <w:r w:rsidRPr="003C243E">
        <w:rPr>
          <w:i/>
          <w:szCs w:val="20"/>
          <w:lang w:val="de-DE"/>
        </w:rPr>
        <w:t>Deutschsein: Eine Aufklärungsschrift</w:t>
      </w:r>
      <w:r w:rsidRPr="003C243E">
        <w:rPr>
          <w:szCs w:val="20"/>
          <w:lang w:val="de-DE"/>
        </w:rPr>
        <w:t xml:space="preserve"> (2011) bestätigen. Wie wichtig seine Rolle als </w:t>
      </w:r>
      <w:r w:rsidRPr="003C243E">
        <w:rPr>
          <w:i/>
          <w:szCs w:val="20"/>
          <w:lang w:val="de-DE"/>
        </w:rPr>
        <w:t>public intellectual</w:t>
      </w:r>
      <w:r w:rsidRPr="003C243E">
        <w:rPr>
          <w:szCs w:val="20"/>
          <w:lang w:val="de-DE"/>
        </w:rPr>
        <w:t xml:space="preserve"> und Gegenstimme zur medialen Islamfeindlichkeit sein mag, </w:t>
      </w:r>
      <w:r w:rsidR="00A57AE4" w:rsidRPr="003C243E">
        <w:rPr>
          <w:szCs w:val="20"/>
          <w:lang w:val="de-DE"/>
        </w:rPr>
        <w:t xml:space="preserve">so </w:t>
      </w:r>
      <w:r w:rsidRPr="003C243E">
        <w:rPr>
          <w:szCs w:val="20"/>
          <w:lang w:val="de-DE"/>
        </w:rPr>
        <w:t xml:space="preserve">muss </w:t>
      </w:r>
      <w:r w:rsidR="002E2A21" w:rsidRPr="003C243E">
        <w:rPr>
          <w:szCs w:val="20"/>
          <w:lang w:val="de-DE"/>
        </w:rPr>
        <w:t xml:space="preserve">auch </w:t>
      </w:r>
      <w:r w:rsidRPr="003C243E">
        <w:rPr>
          <w:szCs w:val="20"/>
          <w:lang w:val="de-DE"/>
        </w:rPr>
        <w:t xml:space="preserve">seine Lyrik als ein wichtiger Beitrag zur deutschen Islamdebatte betrachtet werden, denn hier diskutiert und erforscht </w:t>
      </w:r>
      <w:r w:rsidR="002E2A21" w:rsidRPr="003C243E">
        <w:rPr>
          <w:szCs w:val="20"/>
          <w:lang w:val="de-DE"/>
        </w:rPr>
        <w:t xml:space="preserve">Şenocak </w:t>
      </w:r>
      <w:r w:rsidRPr="003C243E">
        <w:rPr>
          <w:szCs w:val="20"/>
          <w:lang w:val="de-DE"/>
        </w:rPr>
        <w:t>die relevanten Themen mit mehr Nuance, Ambiguität und Vielschichtigkeit als in seine</w:t>
      </w:r>
      <w:r w:rsidR="00A57AE4" w:rsidRPr="003C243E">
        <w:rPr>
          <w:szCs w:val="20"/>
          <w:lang w:val="de-DE"/>
        </w:rPr>
        <w:t>n</w:t>
      </w:r>
      <w:r w:rsidRPr="003C243E">
        <w:rPr>
          <w:szCs w:val="20"/>
          <w:lang w:val="de-DE"/>
        </w:rPr>
        <w:t xml:space="preserve"> journalistischen </w:t>
      </w:r>
      <w:r w:rsidR="00A57AE4" w:rsidRPr="003C243E">
        <w:rPr>
          <w:szCs w:val="20"/>
          <w:lang w:val="de-DE"/>
        </w:rPr>
        <w:t>Arbeiten</w:t>
      </w:r>
      <w:r w:rsidRPr="003C243E">
        <w:rPr>
          <w:szCs w:val="20"/>
          <w:lang w:val="de-DE"/>
        </w:rPr>
        <w:t>,</w:t>
      </w:r>
      <w:r w:rsidR="00652455" w:rsidRPr="003C243E">
        <w:rPr>
          <w:szCs w:val="20"/>
          <w:lang w:val="de-DE"/>
        </w:rPr>
        <w:t xml:space="preserve"> die</w:t>
      </w:r>
      <w:r w:rsidRPr="003C243E">
        <w:rPr>
          <w:szCs w:val="20"/>
          <w:lang w:val="de-DE"/>
        </w:rPr>
        <w:t xml:space="preserve"> unter diskursiven Einschränkungen steh</w:t>
      </w:r>
      <w:r w:rsidR="00652455" w:rsidRPr="003C243E">
        <w:rPr>
          <w:szCs w:val="20"/>
          <w:lang w:val="de-DE"/>
        </w:rPr>
        <w:t>en</w:t>
      </w:r>
      <w:r w:rsidRPr="003C243E">
        <w:rPr>
          <w:szCs w:val="20"/>
          <w:lang w:val="de-DE"/>
        </w:rPr>
        <w:t>. Die</w:t>
      </w:r>
      <w:r w:rsidR="009F44AB" w:rsidRPr="003C243E">
        <w:rPr>
          <w:szCs w:val="20"/>
          <w:lang w:val="de-DE"/>
        </w:rPr>
        <w:t>se</w:t>
      </w:r>
      <w:r w:rsidRPr="003C243E">
        <w:rPr>
          <w:szCs w:val="20"/>
          <w:lang w:val="de-DE"/>
        </w:rPr>
        <w:t xml:space="preserve"> </w:t>
      </w:r>
      <w:r w:rsidR="00D1336C" w:rsidRPr="003C243E">
        <w:rPr>
          <w:szCs w:val="20"/>
          <w:lang w:val="de-DE"/>
        </w:rPr>
        <w:t xml:space="preserve">wohlüberlegte </w:t>
      </w:r>
      <w:r w:rsidR="00847B1A" w:rsidRPr="003C243E">
        <w:rPr>
          <w:szCs w:val="20"/>
          <w:lang w:val="de-DE"/>
        </w:rPr>
        <w:t>Ambi</w:t>
      </w:r>
      <w:r w:rsidR="00652455" w:rsidRPr="003C243E">
        <w:rPr>
          <w:szCs w:val="20"/>
          <w:lang w:val="de-DE"/>
        </w:rPr>
        <w:t>g</w:t>
      </w:r>
      <w:r w:rsidR="00847B1A" w:rsidRPr="003C243E">
        <w:rPr>
          <w:szCs w:val="20"/>
          <w:lang w:val="de-DE"/>
        </w:rPr>
        <w:t>uität und Vielschichtigkeit zeigt sich</w:t>
      </w:r>
      <w:r w:rsidR="00AE3017" w:rsidRPr="003C243E">
        <w:rPr>
          <w:szCs w:val="20"/>
          <w:lang w:val="de-DE"/>
        </w:rPr>
        <w:t xml:space="preserve"> </w:t>
      </w:r>
      <w:r w:rsidRPr="003C243E">
        <w:rPr>
          <w:szCs w:val="20"/>
          <w:lang w:val="de-DE"/>
        </w:rPr>
        <w:t xml:space="preserve">besonders im Lyrikband </w:t>
      </w:r>
      <w:r w:rsidRPr="003C243E">
        <w:rPr>
          <w:i/>
          <w:szCs w:val="20"/>
          <w:lang w:val="de-DE"/>
        </w:rPr>
        <w:t>Übergang</w:t>
      </w:r>
      <w:r w:rsidRPr="003C243E">
        <w:rPr>
          <w:szCs w:val="20"/>
          <w:lang w:val="de-DE"/>
        </w:rPr>
        <w:t xml:space="preserve"> (2005), in dem </w:t>
      </w:r>
      <w:r w:rsidR="00652455" w:rsidRPr="003C243E">
        <w:rPr>
          <w:szCs w:val="20"/>
          <w:lang w:val="de-DE"/>
        </w:rPr>
        <w:t xml:space="preserve">der </w:t>
      </w:r>
      <w:r w:rsidRPr="003C243E">
        <w:rPr>
          <w:szCs w:val="20"/>
          <w:lang w:val="de-DE"/>
        </w:rPr>
        <w:t xml:space="preserve">Chamisso-Preis-Träger Şenocak </w:t>
      </w:r>
      <w:r w:rsidR="006545C3" w:rsidRPr="003C243E">
        <w:rPr>
          <w:szCs w:val="20"/>
          <w:lang w:val="de-DE"/>
        </w:rPr>
        <w:t xml:space="preserve">sich mit kulturellen, historischen, politischen, generationsübergreifenden und religiösen </w:t>
      </w:r>
      <w:r w:rsidR="00694CE1" w:rsidRPr="003C243E">
        <w:rPr>
          <w:i/>
          <w:szCs w:val="20"/>
          <w:lang w:val="de-DE"/>
        </w:rPr>
        <w:t>Übergängen</w:t>
      </w:r>
      <w:r w:rsidR="00694CE1" w:rsidRPr="003C243E">
        <w:rPr>
          <w:szCs w:val="20"/>
          <w:lang w:val="de-DE"/>
        </w:rPr>
        <w:t xml:space="preserve"> befasst</w:t>
      </w:r>
      <w:r w:rsidRPr="003C243E">
        <w:rPr>
          <w:szCs w:val="20"/>
          <w:lang w:val="de-DE"/>
        </w:rPr>
        <w:t>.</w:t>
      </w:r>
      <w:r w:rsidR="00694CE1" w:rsidRPr="003C243E">
        <w:rPr>
          <w:szCs w:val="20"/>
          <w:lang w:val="de-DE"/>
        </w:rPr>
        <w:t xml:space="preserve"> Es ist mein Ziel, di</w:t>
      </w:r>
      <w:r w:rsidR="00073A64" w:rsidRPr="003C243E">
        <w:rPr>
          <w:szCs w:val="20"/>
          <w:lang w:val="de-DE"/>
        </w:rPr>
        <w:t xml:space="preserve">e Konzepte der Subjektivität und </w:t>
      </w:r>
      <w:r w:rsidR="00073A64" w:rsidRPr="003C243E">
        <w:rPr>
          <w:szCs w:val="20"/>
          <w:lang w:val="de-DE"/>
        </w:rPr>
        <w:lastRenderedPageBreak/>
        <w:t>der Religiosität in diesem</w:t>
      </w:r>
      <w:r w:rsidR="00694CE1" w:rsidRPr="003C243E">
        <w:rPr>
          <w:szCs w:val="20"/>
          <w:lang w:val="de-DE"/>
        </w:rPr>
        <w:t xml:space="preserve"> facettenreichen Text </w:t>
      </w:r>
      <w:r w:rsidR="00D1336C" w:rsidRPr="003C243E">
        <w:rPr>
          <w:szCs w:val="20"/>
          <w:lang w:val="de-DE"/>
        </w:rPr>
        <w:t xml:space="preserve">durch einige Beispiele </w:t>
      </w:r>
      <w:r w:rsidR="00073A64" w:rsidRPr="003C243E">
        <w:rPr>
          <w:szCs w:val="20"/>
          <w:lang w:val="de-DE"/>
        </w:rPr>
        <w:t>zu untersuchen.</w:t>
      </w:r>
    </w:p>
    <w:p w14:paraId="30375BD5" w14:textId="74B0800C" w:rsidR="00CF6C7C" w:rsidRPr="003C243E" w:rsidRDefault="00CF6C7C" w:rsidP="00CF6C7C">
      <w:pPr>
        <w:pStyle w:val="KnigNeu"/>
        <w:rPr>
          <w:szCs w:val="20"/>
          <w:lang w:val="de-DE"/>
        </w:rPr>
      </w:pPr>
      <w:r w:rsidRPr="003C243E">
        <w:rPr>
          <w:szCs w:val="20"/>
          <w:lang w:val="de-DE"/>
        </w:rPr>
        <w:t xml:space="preserve">Die in Şenocaks erzählerischen sowie </w:t>
      </w:r>
      <w:r w:rsidR="00A250EE" w:rsidRPr="003C243E">
        <w:rPr>
          <w:szCs w:val="20"/>
          <w:lang w:val="de-DE"/>
        </w:rPr>
        <w:t xml:space="preserve">in </w:t>
      </w:r>
      <w:r w:rsidRPr="003C243E">
        <w:rPr>
          <w:szCs w:val="20"/>
          <w:lang w:val="de-DE"/>
        </w:rPr>
        <w:t>seinen lyrischen Werken weit verbreitete Vorstellung</w:t>
      </w:r>
      <w:r w:rsidR="00A250EE" w:rsidRPr="003C243E">
        <w:rPr>
          <w:szCs w:val="20"/>
          <w:lang w:val="de-DE"/>
        </w:rPr>
        <w:t xml:space="preserve"> von sich überlappenden kulturellen</w:t>
      </w:r>
      <w:r w:rsidRPr="003C243E">
        <w:rPr>
          <w:szCs w:val="20"/>
          <w:lang w:val="de-DE"/>
        </w:rPr>
        <w:t xml:space="preserve"> Grenzen und </w:t>
      </w:r>
      <w:r w:rsidR="00A250EE" w:rsidRPr="003C243E">
        <w:rPr>
          <w:szCs w:val="20"/>
          <w:lang w:val="de-DE"/>
        </w:rPr>
        <w:t xml:space="preserve">eines fragmentierten </w:t>
      </w:r>
      <w:r w:rsidRPr="003C243E">
        <w:rPr>
          <w:szCs w:val="20"/>
          <w:lang w:val="de-DE"/>
        </w:rPr>
        <w:t xml:space="preserve">Ich lässt sich durch die im deutschen Sprachraum herrschenden multi- und interkulturellen </w:t>
      </w:r>
      <w:r w:rsidR="00A250EE" w:rsidRPr="003C243E">
        <w:rPr>
          <w:szCs w:val="20"/>
          <w:lang w:val="de-DE"/>
        </w:rPr>
        <w:t>Ansätze</w:t>
      </w:r>
      <w:r w:rsidR="00AE3017" w:rsidRPr="003C243E">
        <w:rPr>
          <w:szCs w:val="20"/>
          <w:lang w:val="de-DE"/>
        </w:rPr>
        <w:t xml:space="preserve"> </w:t>
      </w:r>
      <w:r w:rsidRPr="003C243E">
        <w:rPr>
          <w:szCs w:val="20"/>
          <w:lang w:val="de-DE"/>
        </w:rPr>
        <w:t xml:space="preserve">nicht adäquat beschreiben. </w:t>
      </w:r>
      <w:r w:rsidR="00A250EE" w:rsidRPr="003C243E">
        <w:rPr>
          <w:szCs w:val="20"/>
          <w:lang w:val="de-DE"/>
        </w:rPr>
        <w:t>Damit</w:t>
      </w:r>
      <w:r w:rsidRPr="003C243E">
        <w:rPr>
          <w:szCs w:val="20"/>
          <w:lang w:val="de-DE"/>
        </w:rPr>
        <w:t xml:space="preserve"> meine ich, dass Identitäten nicht geschlossen und unveränderlich, sondern ständig im Wandel sind und </w:t>
      </w:r>
      <w:r w:rsidR="00F025EC" w:rsidRPr="003C243E">
        <w:rPr>
          <w:szCs w:val="20"/>
          <w:lang w:val="de-DE"/>
        </w:rPr>
        <w:t xml:space="preserve">nicht </w:t>
      </w:r>
      <w:r w:rsidR="000354DB" w:rsidRPr="003C243E">
        <w:rPr>
          <w:szCs w:val="20"/>
          <w:lang w:val="de-DE"/>
        </w:rPr>
        <w:t>zu einem Abschluss kommen</w:t>
      </w:r>
      <w:r w:rsidRPr="003C243E">
        <w:rPr>
          <w:szCs w:val="20"/>
          <w:lang w:val="de-DE"/>
        </w:rPr>
        <w:t xml:space="preserve">. </w:t>
      </w:r>
      <w:r w:rsidRPr="003C243E">
        <w:rPr>
          <w:i/>
          <w:szCs w:val="20"/>
          <w:lang w:val="de-DE"/>
        </w:rPr>
        <w:t>Übergang</w:t>
      </w:r>
      <w:r w:rsidRPr="003C243E">
        <w:rPr>
          <w:szCs w:val="20"/>
          <w:lang w:val="de-DE"/>
        </w:rPr>
        <w:t xml:space="preserve"> ist in diesem Sinne keine Ausnahme</w:t>
      </w:r>
      <w:r w:rsidR="000354DB" w:rsidRPr="003C243E">
        <w:rPr>
          <w:szCs w:val="20"/>
          <w:lang w:val="de-DE"/>
        </w:rPr>
        <w:t>.</w:t>
      </w:r>
      <w:r w:rsidRPr="003C243E">
        <w:rPr>
          <w:szCs w:val="20"/>
          <w:lang w:val="de-DE"/>
        </w:rPr>
        <w:t xml:space="preserve"> </w:t>
      </w:r>
      <w:r w:rsidR="00F025EC" w:rsidRPr="003C243E">
        <w:rPr>
          <w:szCs w:val="20"/>
          <w:lang w:val="de-DE"/>
        </w:rPr>
        <w:t>Um die vielseitige Vorstellung von Kultur und Identität (vornehmlich der religiösen Identität) in diesem Gedichtband Şenocaks zu erhellen,</w:t>
      </w:r>
      <w:r w:rsidR="000354DB" w:rsidRPr="003C243E">
        <w:rPr>
          <w:szCs w:val="20"/>
          <w:lang w:val="de-DE"/>
        </w:rPr>
        <w:t xml:space="preserve"> berufe</w:t>
      </w:r>
      <w:r w:rsidR="00F025EC" w:rsidRPr="003C243E">
        <w:rPr>
          <w:szCs w:val="20"/>
          <w:lang w:val="de-DE"/>
        </w:rPr>
        <w:t xml:space="preserve"> ich mich </w:t>
      </w:r>
      <w:r w:rsidRPr="003C243E">
        <w:rPr>
          <w:szCs w:val="20"/>
          <w:lang w:val="de-DE"/>
        </w:rPr>
        <w:t>auf den erkenntnistheoretischen Antifundamentalismus Jean-Luc Nancys. Nancys Begriff der Dekonstruktion des Monotheismus ist hier besonders einschlägig, um Einsicht zu gewinnen, wie die Dichtung Şenocaks das dualistische Denken nicht nur vom Selbst und dem Anderem (bzw. vom Eigenen und dem Fremden), sondern auch das vom Himmel und der Erde abbaut, mit erheblichen Auswirkungen für die allgegenwärtigen Islamdebatten im heutigen Deutschland.</w:t>
      </w:r>
    </w:p>
    <w:p w14:paraId="56CAC05C" w14:textId="77777777" w:rsidR="00CF6C7C" w:rsidRPr="003C243E" w:rsidRDefault="00CF6C7C" w:rsidP="003F6B6A">
      <w:pPr>
        <w:pStyle w:val="KnigNeu"/>
        <w:ind w:firstLine="0"/>
        <w:rPr>
          <w:szCs w:val="20"/>
          <w:lang w:val="de-DE"/>
        </w:rPr>
      </w:pPr>
    </w:p>
    <w:p w14:paraId="3B427C4A" w14:textId="77777777" w:rsidR="00CF6C7C" w:rsidRPr="003C243E" w:rsidRDefault="00CF6C7C" w:rsidP="003F6B6A">
      <w:pPr>
        <w:pStyle w:val="KnigNeu"/>
        <w:ind w:firstLine="0"/>
        <w:rPr>
          <w:b/>
          <w:szCs w:val="20"/>
          <w:lang w:val="de-DE"/>
        </w:rPr>
      </w:pPr>
      <w:r w:rsidRPr="003C243E">
        <w:rPr>
          <w:b/>
          <w:szCs w:val="20"/>
          <w:lang w:val="de-DE"/>
        </w:rPr>
        <w:t xml:space="preserve">„Wir brauchen keine Einheit“: Das Selbst und der Andere in </w:t>
      </w:r>
      <w:r w:rsidRPr="003C243E">
        <w:rPr>
          <w:b/>
          <w:i/>
          <w:szCs w:val="20"/>
          <w:lang w:val="de-DE"/>
        </w:rPr>
        <w:t>Übergang</w:t>
      </w:r>
    </w:p>
    <w:p w14:paraId="00A6E7D2" w14:textId="77777777" w:rsidR="00CF6C7C" w:rsidRPr="003C243E" w:rsidRDefault="00CF6C7C" w:rsidP="00FF42F4">
      <w:pPr>
        <w:pStyle w:val="KnigZitate"/>
        <w:rPr>
          <w:lang w:val="de-DE"/>
        </w:rPr>
      </w:pPr>
      <w:r w:rsidRPr="003C243E">
        <w:rPr>
          <w:lang w:val="de-DE"/>
        </w:rPr>
        <w:t>[Das Atom der Bürgergesellschaften] ist der Bürger, das Individuum, das wiederum in zahllose einander nicht gleichende Teilchen zerfällt. Diese Teilchen sind in ständiger Bewegung, berühren und verändern einander.</w:t>
      </w:r>
      <w:r w:rsidRPr="003C243E">
        <w:rPr>
          <w:vertAlign w:val="superscript"/>
          <w:lang w:val="de-DE"/>
        </w:rPr>
        <w:footnoteReference w:id="4"/>
      </w:r>
    </w:p>
    <w:p w14:paraId="1E181AF7" w14:textId="639BB2C6" w:rsidR="00CF6C7C" w:rsidRPr="003C243E" w:rsidRDefault="00CF6C7C" w:rsidP="00FF42F4">
      <w:pPr>
        <w:pStyle w:val="KnigNeu"/>
        <w:ind w:firstLine="0"/>
        <w:rPr>
          <w:szCs w:val="20"/>
          <w:lang w:val="de-DE"/>
        </w:rPr>
      </w:pPr>
      <w:r w:rsidRPr="003C243E">
        <w:rPr>
          <w:szCs w:val="20"/>
          <w:lang w:val="de-DE"/>
        </w:rPr>
        <w:t xml:space="preserve">Dieses Zitat </w:t>
      </w:r>
      <w:r w:rsidR="000354DB" w:rsidRPr="003C243E">
        <w:rPr>
          <w:szCs w:val="20"/>
          <w:lang w:val="de-DE"/>
        </w:rPr>
        <w:t xml:space="preserve">aus dem </w:t>
      </w:r>
      <w:r w:rsidRPr="003C243E">
        <w:rPr>
          <w:szCs w:val="20"/>
          <w:lang w:val="de-DE"/>
        </w:rPr>
        <w:t xml:space="preserve">Essay „Mein erster Türke in Deutschland – ein Fremder: Über das </w:t>
      </w:r>
      <w:r w:rsidR="00861982" w:rsidRPr="003C243E">
        <w:rPr>
          <w:szCs w:val="20"/>
          <w:lang w:val="de-DE"/>
        </w:rPr>
        <w:t>M</w:t>
      </w:r>
      <w:r w:rsidRPr="003C243E">
        <w:rPr>
          <w:szCs w:val="20"/>
          <w:lang w:val="de-DE"/>
        </w:rPr>
        <w:t>arkieren von Grenzen“ (2011) zeigt den kom</w:t>
      </w:r>
      <w:r w:rsidR="00FF42F4" w:rsidRPr="003C243E">
        <w:rPr>
          <w:szCs w:val="20"/>
          <w:lang w:val="de-DE"/>
        </w:rPr>
        <w:t>p</w:t>
      </w:r>
      <w:r w:rsidRPr="003C243E">
        <w:rPr>
          <w:szCs w:val="20"/>
          <w:lang w:val="de-DE"/>
        </w:rPr>
        <w:t xml:space="preserve">lexen </w:t>
      </w:r>
      <w:r w:rsidR="00861982" w:rsidRPr="003C243E">
        <w:rPr>
          <w:szCs w:val="20"/>
          <w:lang w:val="de-DE"/>
        </w:rPr>
        <w:t xml:space="preserve">Kultur- und Identitätsbegriff </w:t>
      </w:r>
      <w:r w:rsidRPr="003C243E">
        <w:rPr>
          <w:szCs w:val="20"/>
          <w:lang w:val="de-DE"/>
        </w:rPr>
        <w:t>Şenocaks. E</w:t>
      </w:r>
      <w:r w:rsidR="00861982" w:rsidRPr="003C243E">
        <w:rPr>
          <w:szCs w:val="20"/>
          <w:lang w:val="de-DE"/>
        </w:rPr>
        <w:t>r</w:t>
      </w:r>
      <w:r w:rsidRPr="003C243E">
        <w:rPr>
          <w:szCs w:val="20"/>
          <w:lang w:val="de-DE"/>
        </w:rPr>
        <w:t xml:space="preserve"> lässt sich auch mit der Beschreibung Nancys vom „</w:t>
      </w:r>
      <w:r w:rsidRPr="003C243E">
        <w:rPr>
          <w:i/>
          <w:szCs w:val="20"/>
          <w:lang w:val="de-DE"/>
        </w:rPr>
        <w:t>clinamen</w:t>
      </w:r>
      <w:r w:rsidRPr="003C243E">
        <w:rPr>
          <w:szCs w:val="20"/>
          <w:lang w:val="de-DE"/>
        </w:rPr>
        <w:t>“</w:t>
      </w:r>
      <w:r w:rsidRPr="003C243E">
        <w:rPr>
          <w:rStyle w:val="FootnoteReference"/>
          <w:szCs w:val="20"/>
          <w:lang w:val="de-DE"/>
        </w:rPr>
        <w:footnoteReference w:id="5"/>
      </w:r>
      <w:r w:rsidRPr="003C243E">
        <w:rPr>
          <w:szCs w:val="20"/>
          <w:lang w:val="de-DE"/>
        </w:rPr>
        <w:t xml:space="preserve"> der Menschen in </w:t>
      </w:r>
      <w:r w:rsidR="00861982" w:rsidRPr="003C243E">
        <w:rPr>
          <w:szCs w:val="20"/>
          <w:lang w:val="de-DE"/>
        </w:rPr>
        <w:t>Beziehung</w:t>
      </w:r>
      <w:r w:rsidR="00C02849" w:rsidRPr="003C243E">
        <w:rPr>
          <w:szCs w:val="20"/>
          <w:lang w:val="de-DE"/>
        </w:rPr>
        <w:t xml:space="preserve"> </w:t>
      </w:r>
      <w:r w:rsidRPr="003C243E">
        <w:rPr>
          <w:szCs w:val="20"/>
          <w:lang w:val="de-DE"/>
        </w:rPr>
        <w:t>bringen, oder, wie Nancy es nennt, der „singulären Wesen“, die in ihrer Offenheit sich genauso wie Atome in unberechenbarer Weise aufeinander zubewegen und sich gegenseitig verändern:</w:t>
      </w:r>
    </w:p>
    <w:p w14:paraId="1DCF27A3" w14:textId="65EDF176" w:rsidR="00CF6C7C" w:rsidRPr="003C243E" w:rsidRDefault="00CF6C7C" w:rsidP="00FF42F4">
      <w:pPr>
        <w:pStyle w:val="KnigZitate"/>
        <w:rPr>
          <w:lang w:val="de-DE"/>
        </w:rPr>
      </w:pPr>
      <w:r w:rsidRPr="003C243E">
        <w:rPr>
          <w:lang w:val="de-DE"/>
        </w:rPr>
        <w:t xml:space="preserve">Im Übrigen machen einzelne Atome noch keine Welt. Es bedarf eines </w:t>
      </w:r>
      <w:r w:rsidRPr="003C243E">
        <w:rPr>
          <w:i/>
          <w:lang w:val="de-DE"/>
        </w:rPr>
        <w:t>clinamen</w:t>
      </w:r>
      <w:r w:rsidRPr="003C243E">
        <w:rPr>
          <w:lang w:val="de-DE"/>
        </w:rPr>
        <w:t xml:space="preserve">. Es bedarf einer Neigung oder einer Zuneigung des einen für den anderen, einer Anziehung des einen durch den anderen, eines gegenseitigen Hingezogenseins. Die Gemeinschaft ist zumindest das </w:t>
      </w:r>
      <w:r w:rsidRPr="003C243E">
        <w:rPr>
          <w:i/>
          <w:lang w:val="de-DE"/>
        </w:rPr>
        <w:t>clinamen</w:t>
      </w:r>
      <w:r w:rsidRPr="003C243E">
        <w:rPr>
          <w:lang w:val="de-DE"/>
        </w:rPr>
        <w:t xml:space="preserve"> des ‚Individuums‘. Aber keine Theorie des Individuums ist in der Lage, dieses </w:t>
      </w:r>
      <w:r w:rsidRPr="003C243E">
        <w:rPr>
          <w:i/>
          <w:lang w:val="de-DE"/>
        </w:rPr>
        <w:lastRenderedPageBreak/>
        <w:t>clinamen</w:t>
      </w:r>
      <w:r w:rsidRPr="003C243E">
        <w:rPr>
          <w:lang w:val="de-DE"/>
        </w:rPr>
        <w:t>, diese Bewegung oder diese</w:t>
      </w:r>
      <w:r w:rsidR="00E67E42" w:rsidRPr="003C243E">
        <w:rPr>
          <w:lang w:val="de-DE"/>
        </w:rPr>
        <w:t>n</w:t>
      </w:r>
      <w:r w:rsidRPr="003C243E">
        <w:rPr>
          <w:lang w:val="de-DE"/>
        </w:rPr>
        <w:t xml:space="preserve"> Niedergang des Individuums in der Gemeinschaft ins Auge zu fassen.</w:t>
      </w:r>
      <w:r w:rsidRPr="003C243E">
        <w:rPr>
          <w:rStyle w:val="FootnoteReference"/>
          <w:sz w:val="20"/>
          <w:szCs w:val="20"/>
          <w:lang w:val="de-DE"/>
        </w:rPr>
        <w:footnoteReference w:id="6"/>
      </w:r>
    </w:p>
    <w:p w14:paraId="2F305625" w14:textId="0E335F0E" w:rsidR="00CF6C7C" w:rsidRPr="003C243E" w:rsidRDefault="00CF6C7C" w:rsidP="00FF42F4">
      <w:pPr>
        <w:pStyle w:val="KnigNeu"/>
        <w:ind w:firstLine="0"/>
        <w:rPr>
          <w:szCs w:val="20"/>
          <w:lang w:val="de-DE"/>
        </w:rPr>
      </w:pPr>
      <w:r w:rsidRPr="003C243E">
        <w:rPr>
          <w:szCs w:val="20"/>
          <w:lang w:val="de-DE"/>
        </w:rPr>
        <w:t>Nancy fordert dementsprechend, dass wir uns als singuläre Wesen sehen</w:t>
      </w:r>
      <w:r w:rsidR="00E67E42" w:rsidRPr="003C243E">
        <w:rPr>
          <w:szCs w:val="20"/>
          <w:lang w:val="de-DE"/>
        </w:rPr>
        <w:t xml:space="preserve"> sollen</w:t>
      </w:r>
      <w:r w:rsidRPr="003C243E">
        <w:rPr>
          <w:szCs w:val="20"/>
          <w:lang w:val="de-DE"/>
        </w:rPr>
        <w:t>, die eher durch die Ekstase als den Individualismus geprägt sind. Er nennt diese Art von „Mitsein“</w:t>
      </w:r>
      <w:r w:rsidRPr="003C243E">
        <w:rPr>
          <w:rStyle w:val="FootnoteReference"/>
          <w:szCs w:val="20"/>
          <w:lang w:val="de-DE"/>
        </w:rPr>
        <w:footnoteReference w:id="7"/>
      </w:r>
      <w:r w:rsidRPr="003C243E">
        <w:rPr>
          <w:szCs w:val="20"/>
          <w:lang w:val="de-DE"/>
        </w:rPr>
        <w:t xml:space="preserve"> die „entwerkte Gemeinschaft“, denn sie „ist weder ein herzustellendes Werk, noch eine verlorene Kommunion, sondern der Raum selbst, das Eröffnen eines Raums der Erfahrung des Draußen, des Außer-Sich-Sein“.</w:t>
      </w:r>
      <w:r w:rsidRPr="003C243E">
        <w:rPr>
          <w:rStyle w:val="FootnoteReference"/>
          <w:szCs w:val="20"/>
          <w:lang w:val="de-DE"/>
        </w:rPr>
        <w:footnoteReference w:id="8"/>
      </w:r>
      <w:r w:rsidRPr="003C243E">
        <w:rPr>
          <w:szCs w:val="20"/>
          <w:lang w:val="de-DE"/>
        </w:rPr>
        <w:t xml:space="preserve"> Diese Auslegung </w:t>
      </w:r>
      <w:r w:rsidR="00E67E42" w:rsidRPr="003C243E">
        <w:rPr>
          <w:szCs w:val="20"/>
          <w:lang w:val="de-DE"/>
        </w:rPr>
        <w:t>von</w:t>
      </w:r>
      <w:r w:rsidR="00C02849" w:rsidRPr="003C243E">
        <w:rPr>
          <w:szCs w:val="20"/>
          <w:lang w:val="de-DE"/>
        </w:rPr>
        <w:t xml:space="preserve"> </w:t>
      </w:r>
      <w:r w:rsidRPr="003C243E">
        <w:rPr>
          <w:szCs w:val="20"/>
          <w:lang w:val="de-DE"/>
        </w:rPr>
        <w:t>Gemeinschaft ohne gemeinsame Identität gibt Aufschluss über den antifundamentalistischen Kosmopolitismus Şenocaks, wie Berthold Schöne schon in Bezug auf den britischen „kosmopolitischen Roman“ argumentiert hat:</w:t>
      </w:r>
    </w:p>
    <w:p w14:paraId="6C6594EE" w14:textId="77777777" w:rsidR="00CF6C7C" w:rsidRPr="003C243E" w:rsidRDefault="00CF6C7C" w:rsidP="00FF42F4">
      <w:pPr>
        <w:pStyle w:val="KnigZitate"/>
        <w:rPr>
          <w:lang w:val="de-DE"/>
        </w:rPr>
      </w:pPr>
      <w:r w:rsidRPr="003C243E">
        <w:rPr>
          <w:lang w:val="de-DE"/>
        </w:rPr>
        <w:t>Nancy’s outline of community [...] proves instructively illuminating for literature imagining global community beyond ‘the people’ or (united) nations, and outside the utopian/dystopian framework of ideological modelling or transcendent meaning-making.</w:t>
      </w:r>
      <w:r w:rsidRPr="003C243E">
        <w:rPr>
          <w:rStyle w:val="FootnoteReference"/>
          <w:sz w:val="20"/>
          <w:szCs w:val="20"/>
          <w:lang w:val="de-DE"/>
        </w:rPr>
        <w:footnoteReference w:id="9"/>
      </w:r>
    </w:p>
    <w:p w14:paraId="3839B275" w14:textId="5823EC8A" w:rsidR="00CF6C7C" w:rsidRPr="003C243E" w:rsidRDefault="00CF6C7C" w:rsidP="00AE3017">
      <w:pPr>
        <w:pStyle w:val="KnigNeu"/>
        <w:ind w:firstLine="0"/>
        <w:rPr>
          <w:szCs w:val="20"/>
          <w:lang w:val="de-DE"/>
        </w:rPr>
      </w:pPr>
      <w:r w:rsidRPr="003C243E">
        <w:rPr>
          <w:szCs w:val="20"/>
          <w:lang w:val="de-DE"/>
        </w:rPr>
        <w:t xml:space="preserve">Diese Kritik </w:t>
      </w:r>
      <w:r w:rsidR="00E67E42" w:rsidRPr="003C243E">
        <w:rPr>
          <w:szCs w:val="20"/>
          <w:lang w:val="de-DE"/>
        </w:rPr>
        <w:t>an einer</w:t>
      </w:r>
      <w:r w:rsidR="00C02849" w:rsidRPr="003C243E">
        <w:rPr>
          <w:szCs w:val="20"/>
          <w:lang w:val="de-DE"/>
        </w:rPr>
        <w:t xml:space="preserve"> </w:t>
      </w:r>
      <w:r w:rsidR="00652455" w:rsidRPr="003C243E">
        <w:rPr>
          <w:szCs w:val="20"/>
          <w:lang w:val="de-DE"/>
        </w:rPr>
        <w:t xml:space="preserve">in sich </w:t>
      </w:r>
      <w:r w:rsidRPr="003C243E">
        <w:rPr>
          <w:szCs w:val="20"/>
          <w:lang w:val="de-DE"/>
        </w:rPr>
        <w:t>geschlossenen Subjektivität sowie</w:t>
      </w:r>
      <w:r w:rsidR="00E67E42" w:rsidRPr="003C243E">
        <w:rPr>
          <w:szCs w:val="20"/>
          <w:lang w:val="de-DE"/>
        </w:rPr>
        <w:t xml:space="preserve"> an</w:t>
      </w:r>
      <w:r w:rsidRPr="003C243E">
        <w:rPr>
          <w:szCs w:val="20"/>
          <w:lang w:val="de-DE"/>
        </w:rPr>
        <w:t xml:space="preserve"> der geschlossenen Gemeinschaft kommt auch in </w:t>
      </w:r>
      <w:r w:rsidRPr="003C243E">
        <w:rPr>
          <w:i/>
          <w:szCs w:val="20"/>
          <w:lang w:val="de-DE"/>
        </w:rPr>
        <w:t>Übergang</w:t>
      </w:r>
      <w:r w:rsidRPr="003C243E">
        <w:rPr>
          <w:szCs w:val="20"/>
          <w:lang w:val="de-DE"/>
        </w:rPr>
        <w:t xml:space="preserve"> vor.</w:t>
      </w:r>
    </w:p>
    <w:p w14:paraId="187FFCFC" w14:textId="23A0FF01" w:rsidR="00CF6C7C" w:rsidRPr="003C243E" w:rsidRDefault="00CF6C7C" w:rsidP="00CF6C7C">
      <w:pPr>
        <w:pStyle w:val="KnigNeu"/>
        <w:rPr>
          <w:szCs w:val="20"/>
          <w:lang w:val="de-DE"/>
        </w:rPr>
      </w:pPr>
      <w:r w:rsidRPr="003C243E">
        <w:rPr>
          <w:szCs w:val="20"/>
          <w:lang w:val="de-DE"/>
        </w:rPr>
        <w:t>Obwohl das Wortspiel und die Struktur eine wichtige Rolle in der Dichtung Şenocaks spielen, liegt der Schlüssel zu</w:t>
      </w:r>
      <w:r w:rsidR="000C2C00" w:rsidRPr="003C243E">
        <w:rPr>
          <w:szCs w:val="20"/>
          <w:lang w:val="de-DE"/>
        </w:rPr>
        <w:t xml:space="preserve"> ihrer</w:t>
      </w:r>
      <w:r w:rsidRPr="003C243E">
        <w:rPr>
          <w:szCs w:val="20"/>
          <w:lang w:val="de-DE"/>
        </w:rPr>
        <w:t xml:space="preserve"> Auslegung in deren Symbolik. Das Haus ist ein zentrales Symbol seines gesamten Werkes und </w:t>
      </w:r>
      <w:r w:rsidRPr="003C243E">
        <w:rPr>
          <w:i/>
          <w:szCs w:val="20"/>
          <w:lang w:val="de-DE"/>
        </w:rPr>
        <w:t xml:space="preserve">Übergang </w:t>
      </w:r>
      <w:r w:rsidRPr="003C243E">
        <w:rPr>
          <w:szCs w:val="20"/>
          <w:lang w:val="de-DE"/>
        </w:rPr>
        <w:t xml:space="preserve">ist </w:t>
      </w:r>
      <w:r w:rsidR="00E67E42" w:rsidRPr="003C243E">
        <w:rPr>
          <w:szCs w:val="20"/>
          <w:lang w:val="de-DE"/>
        </w:rPr>
        <w:t xml:space="preserve">hierin </w:t>
      </w:r>
      <w:r w:rsidRPr="003C243E">
        <w:rPr>
          <w:szCs w:val="20"/>
          <w:lang w:val="de-DE"/>
        </w:rPr>
        <w:t xml:space="preserve">keine Ausnahme. Karin E. Yeşilada hält das Haus </w:t>
      </w:r>
      <w:r w:rsidR="00E67E42" w:rsidRPr="003C243E">
        <w:rPr>
          <w:szCs w:val="20"/>
          <w:lang w:val="de-DE"/>
        </w:rPr>
        <w:t xml:space="preserve">in diesen Gedichten </w:t>
      </w:r>
      <w:r w:rsidRPr="003C243E">
        <w:rPr>
          <w:szCs w:val="20"/>
          <w:lang w:val="de-DE"/>
        </w:rPr>
        <w:t>für die Sprache</w:t>
      </w:r>
      <w:r w:rsidR="00D1336C" w:rsidRPr="003C243E">
        <w:rPr>
          <w:szCs w:val="20"/>
          <w:lang w:val="de-DE"/>
        </w:rPr>
        <w:t>.</w:t>
      </w:r>
      <w:r w:rsidR="00AE3017" w:rsidRPr="003C243E">
        <w:rPr>
          <w:rStyle w:val="FootnoteAnchor"/>
          <w:szCs w:val="20"/>
          <w:lang w:val="de-DE"/>
        </w:rPr>
        <w:footnoteReference w:id="10"/>
      </w:r>
      <w:r w:rsidR="00C02849" w:rsidRPr="003C243E">
        <w:rPr>
          <w:szCs w:val="20"/>
          <w:lang w:val="de-DE"/>
        </w:rPr>
        <w:t xml:space="preserve"> </w:t>
      </w:r>
      <w:r w:rsidR="00D1336C" w:rsidRPr="003C243E">
        <w:rPr>
          <w:szCs w:val="20"/>
          <w:lang w:val="de-DE"/>
        </w:rPr>
        <w:t>I</w:t>
      </w:r>
      <w:r w:rsidRPr="003C243E">
        <w:rPr>
          <w:szCs w:val="20"/>
          <w:lang w:val="de-DE"/>
        </w:rPr>
        <w:t xml:space="preserve">ch </w:t>
      </w:r>
      <w:r w:rsidR="00652455" w:rsidRPr="003C243E">
        <w:rPr>
          <w:szCs w:val="20"/>
          <w:lang w:val="de-DE"/>
        </w:rPr>
        <w:t xml:space="preserve">aber </w:t>
      </w:r>
      <w:r w:rsidRPr="003C243E">
        <w:rPr>
          <w:szCs w:val="20"/>
          <w:lang w:val="de-DE"/>
        </w:rPr>
        <w:t xml:space="preserve">interpretiere es umfassender als Identität, </w:t>
      </w:r>
      <w:r w:rsidR="00652455" w:rsidRPr="003C243E">
        <w:rPr>
          <w:szCs w:val="20"/>
          <w:lang w:val="de-DE"/>
        </w:rPr>
        <w:t xml:space="preserve">bzw. </w:t>
      </w:r>
      <w:r w:rsidRPr="003C243E">
        <w:rPr>
          <w:szCs w:val="20"/>
          <w:lang w:val="de-DE"/>
        </w:rPr>
        <w:t xml:space="preserve">das Selbst, und </w:t>
      </w:r>
      <w:r w:rsidR="00E67E42" w:rsidRPr="003C243E">
        <w:rPr>
          <w:szCs w:val="20"/>
          <w:lang w:val="de-DE"/>
        </w:rPr>
        <w:t>deren</w:t>
      </w:r>
      <w:r w:rsidR="006B6B59" w:rsidRPr="003C243E">
        <w:rPr>
          <w:szCs w:val="20"/>
          <w:lang w:val="de-DE"/>
        </w:rPr>
        <w:t xml:space="preserve"> </w:t>
      </w:r>
      <w:r w:rsidRPr="003C243E">
        <w:rPr>
          <w:szCs w:val="20"/>
          <w:lang w:val="de-DE"/>
        </w:rPr>
        <w:t>Instabilität, die natürlich ebenso von der Sprache beeinflusst w</w:t>
      </w:r>
      <w:r w:rsidR="00652455" w:rsidRPr="003C243E">
        <w:rPr>
          <w:szCs w:val="20"/>
          <w:lang w:val="de-DE"/>
        </w:rPr>
        <w:t>erden</w:t>
      </w:r>
      <w:r w:rsidRPr="003C243E">
        <w:rPr>
          <w:szCs w:val="20"/>
          <w:lang w:val="de-DE"/>
        </w:rPr>
        <w:t xml:space="preserve">, wie die Diskussion Erika M. Nelsons über die Vieldeutigkeit und Durchlässigkeit der Bedeutungen im </w:t>
      </w:r>
      <w:r w:rsidR="00E67E42" w:rsidRPr="003C243E">
        <w:rPr>
          <w:szCs w:val="20"/>
          <w:lang w:val="de-DE"/>
        </w:rPr>
        <w:t xml:space="preserve">Gedichtband </w:t>
      </w:r>
      <w:r w:rsidRPr="003C243E">
        <w:rPr>
          <w:szCs w:val="20"/>
          <w:lang w:val="de-DE"/>
        </w:rPr>
        <w:t>aufzeigt.</w:t>
      </w:r>
      <w:r w:rsidRPr="003C243E">
        <w:rPr>
          <w:rStyle w:val="FootnoteAnchor"/>
          <w:szCs w:val="20"/>
          <w:lang w:val="de-DE"/>
        </w:rPr>
        <w:footnoteReference w:id="11"/>
      </w:r>
      <w:r w:rsidRPr="003C243E">
        <w:rPr>
          <w:szCs w:val="20"/>
          <w:lang w:val="de-DE"/>
        </w:rPr>
        <w:t xml:space="preserve"> </w:t>
      </w:r>
      <w:r w:rsidR="00E67E42" w:rsidRPr="003C243E">
        <w:rPr>
          <w:szCs w:val="20"/>
          <w:lang w:val="de-DE"/>
        </w:rPr>
        <w:t xml:space="preserve">Auch </w:t>
      </w:r>
      <w:r w:rsidR="00D1336C" w:rsidRPr="003C243E">
        <w:rPr>
          <w:szCs w:val="20"/>
          <w:lang w:val="de-DE"/>
        </w:rPr>
        <w:t xml:space="preserve">Leslie A. </w:t>
      </w:r>
      <w:r w:rsidRPr="003C243E">
        <w:rPr>
          <w:szCs w:val="20"/>
          <w:lang w:val="de-DE"/>
        </w:rPr>
        <w:t>Adelson verknüpft die Identität mit der Sprache in ihre</w:t>
      </w:r>
      <w:r w:rsidR="006B6B59" w:rsidRPr="003C243E">
        <w:rPr>
          <w:szCs w:val="20"/>
          <w:lang w:val="de-DE"/>
        </w:rPr>
        <w:t>r</w:t>
      </w:r>
      <w:r w:rsidRPr="003C243E">
        <w:rPr>
          <w:szCs w:val="20"/>
          <w:lang w:val="de-DE"/>
        </w:rPr>
        <w:t xml:space="preserve"> Besprech</w:t>
      </w:r>
      <w:r w:rsidR="006B6B59" w:rsidRPr="003C243E">
        <w:rPr>
          <w:szCs w:val="20"/>
          <w:lang w:val="de-DE"/>
        </w:rPr>
        <w:t>ung</w:t>
      </w:r>
      <w:r w:rsidRPr="003C243E">
        <w:rPr>
          <w:szCs w:val="20"/>
          <w:lang w:val="de-DE"/>
        </w:rPr>
        <w:t xml:space="preserve"> der häuslichen Räum</w:t>
      </w:r>
      <w:r w:rsidR="006B6B59" w:rsidRPr="003C243E">
        <w:rPr>
          <w:szCs w:val="20"/>
          <w:lang w:val="de-DE"/>
        </w:rPr>
        <w:t>e</w:t>
      </w:r>
      <w:r w:rsidRPr="003C243E">
        <w:rPr>
          <w:szCs w:val="20"/>
          <w:lang w:val="de-DE"/>
        </w:rPr>
        <w:t xml:space="preserve"> im Prosaband </w:t>
      </w:r>
      <w:r w:rsidRPr="003C243E">
        <w:rPr>
          <w:i/>
          <w:szCs w:val="20"/>
          <w:lang w:val="de-DE"/>
        </w:rPr>
        <w:t xml:space="preserve">Der Mann im Unterhemd </w:t>
      </w:r>
      <w:r w:rsidRPr="003C243E">
        <w:rPr>
          <w:szCs w:val="20"/>
          <w:lang w:val="de-DE"/>
        </w:rPr>
        <w:t>(1995):</w:t>
      </w:r>
    </w:p>
    <w:p w14:paraId="01191828" w14:textId="5314EBC3" w:rsidR="00CF6C7C" w:rsidRPr="003C243E" w:rsidRDefault="00CF6C7C" w:rsidP="00FF42F4">
      <w:pPr>
        <w:pStyle w:val="KnigZitate"/>
        <w:rPr>
          <w:lang w:val="de-DE"/>
        </w:rPr>
      </w:pPr>
      <w:r w:rsidRPr="003C243E">
        <w:rPr>
          <w:lang w:val="de-DE"/>
        </w:rPr>
        <w:lastRenderedPageBreak/>
        <w:t xml:space="preserve">Das Haus der Wörter, durch das man sich hier bewegt, weicht signifikant ab von der geläufigen Trope der Sprache als Heimat, die bis dato einen Großteil der Diskussion über türkisch-deutsche Literatur geprägt hat. Dieses Haus der Wörter ist sowohl ein bestimmtes als auch transnational. Die phantasmatische Räumlichkeit </w:t>
      </w:r>
      <w:r w:rsidRPr="003C243E">
        <w:rPr>
          <w:i/>
          <w:lang w:val="de-DE"/>
        </w:rPr>
        <w:t>dieser</w:t>
      </w:r>
      <w:r w:rsidRPr="003C243E">
        <w:rPr>
          <w:lang w:val="de-DE"/>
        </w:rPr>
        <w:t xml:space="preserve"> deutschen Kultur deutet auf analytische Alternativen zur Annahme einer allzu strikten Trennung zwischen türkischen und deutschen Stoffen.</w:t>
      </w:r>
      <w:r w:rsidRPr="003C243E">
        <w:rPr>
          <w:rStyle w:val="FootnoteReference"/>
          <w:sz w:val="20"/>
          <w:szCs w:val="20"/>
          <w:lang w:val="de-DE"/>
        </w:rPr>
        <w:footnoteReference w:id="12"/>
      </w:r>
    </w:p>
    <w:p w14:paraId="3AC06A62" w14:textId="6BAD3C73" w:rsidR="00CF6C7C" w:rsidRPr="003C243E" w:rsidRDefault="00CF6C7C" w:rsidP="00FF42F4">
      <w:pPr>
        <w:pStyle w:val="KnigNeu"/>
        <w:ind w:firstLine="0"/>
        <w:rPr>
          <w:szCs w:val="20"/>
          <w:lang w:val="de-DE"/>
        </w:rPr>
      </w:pPr>
      <w:r w:rsidRPr="003C243E">
        <w:rPr>
          <w:szCs w:val="20"/>
          <w:lang w:val="de-DE"/>
        </w:rPr>
        <w:t xml:space="preserve">In </w:t>
      </w:r>
      <w:r w:rsidRPr="003C243E">
        <w:rPr>
          <w:i/>
          <w:szCs w:val="20"/>
          <w:lang w:val="de-DE"/>
        </w:rPr>
        <w:t>Übergang</w:t>
      </w:r>
      <w:r w:rsidRPr="003C243E">
        <w:rPr>
          <w:szCs w:val="20"/>
          <w:lang w:val="de-DE"/>
        </w:rPr>
        <w:t xml:space="preserve"> ist das Haus in ähnlicher Weise</w:t>
      </w:r>
      <w:r w:rsidR="00694CE1" w:rsidRPr="003C243E">
        <w:rPr>
          <w:szCs w:val="20"/>
          <w:lang w:val="de-DE"/>
        </w:rPr>
        <w:t xml:space="preserve"> </w:t>
      </w:r>
      <w:r w:rsidR="006112FF" w:rsidRPr="003C243E">
        <w:rPr>
          <w:szCs w:val="20"/>
          <w:lang w:val="de-DE"/>
        </w:rPr>
        <w:t>instabil</w:t>
      </w:r>
      <w:r w:rsidRPr="003C243E">
        <w:rPr>
          <w:szCs w:val="20"/>
          <w:lang w:val="de-DE"/>
        </w:rPr>
        <w:t>. In Gedicht IX des Zyklus „Übergang“,</w:t>
      </w:r>
      <w:r w:rsidRPr="003C243E">
        <w:rPr>
          <w:rStyle w:val="FootnoteAnchor"/>
          <w:szCs w:val="20"/>
          <w:lang w:val="de-DE"/>
        </w:rPr>
        <w:footnoteReference w:id="13"/>
      </w:r>
      <w:r w:rsidRPr="003C243E">
        <w:rPr>
          <w:szCs w:val="20"/>
          <w:lang w:val="de-DE"/>
        </w:rPr>
        <w:t xml:space="preserve"> nach dem </w:t>
      </w:r>
      <w:r w:rsidR="006112FF" w:rsidRPr="003C243E">
        <w:rPr>
          <w:szCs w:val="20"/>
          <w:lang w:val="de-DE"/>
        </w:rPr>
        <w:t>der</w:t>
      </w:r>
      <w:r w:rsidR="00C02849" w:rsidRPr="003C243E">
        <w:rPr>
          <w:szCs w:val="20"/>
          <w:lang w:val="de-DE"/>
        </w:rPr>
        <w:t xml:space="preserve"> </w:t>
      </w:r>
      <w:r w:rsidRPr="003C243E">
        <w:rPr>
          <w:szCs w:val="20"/>
          <w:lang w:val="de-DE"/>
        </w:rPr>
        <w:t xml:space="preserve">gesamte Band benannt ist, schreibt Şenocak: „nicht so wichtig wo ich bin / bleibt doch mein Haus / mir immer noch im Sinn“; und deutet </w:t>
      </w:r>
      <w:r w:rsidR="006112FF" w:rsidRPr="003C243E">
        <w:rPr>
          <w:szCs w:val="20"/>
          <w:lang w:val="de-DE"/>
        </w:rPr>
        <w:t xml:space="preserve">damit </w:t>
      </w:r>
      <w:r w:rsidRPr="003C243E">
        <w:rPr>
          <w:szCs w:val="20"/>
          <w:lang w:val="de-DE"/>
        </w:rPr>
        <w:t xml:space="preserve">auf eine Selbstwahrnehmung hin, die mit keinem geographischen Ort verbunden, sondern flexibel und ortsunabhängig ist. Eine </w:t>
      </w:r>
      <w:r w:rsidR="006112FF" w:rsidRPr="003C243E">
        <w:rPr>
          <w:szCs w:val="20"/>
          <w:lang w:val="de-DE"/>
        </w:rPr>
        <w:t>Ö</w:t>
      </w:r>
      <w:r w:rsidRPr="003C243E">
        <w:rPr>
          <w:szCs w:val="20"/>
          <w:lang w:val="de-DE"/>
        </w:rPr>
        <w:t xml:space="preserve">ffnung des Subjekts </w:t>
      </w:r>
      <w:r w:rsidR="006112FF" w:rsidRPr="003C243E">
        <w:rPr>
          <w:szCs w:val="20"/>
          <w:lang w:val="de-DE"/>
        </w:rPr>
        <w:t>auf den Anderen hin</w:t>
      </w:r>
      <w:r w:rsidR="00C02849" w:rsidRPr="003C243E">
        <w:rPr>
          <w:szCs w:val="20"/>
          <w:lang w:val="de-DE"/>
        </w:rPr>
        <w:t xml:space="preserve"> </w:t>
      </w:r>
      <w:r w:rsidR="006112FF" w:rsidRPr="003C243E">
        <w:rPr>
          <w:szCs w:val="20"/>
          <w:lang w:val="de-DE"/>
        </w:rPr>
        <w:t>kommt</w:t>
      </w:r>
      <w:r w:rsidR="00C02849" w:rsidRPr="003C243E">
        <w:rPr>
          <w:szCs w:val="20"/>
          <w:lang w:val="de-DE"/>
        </w:rPr>
        <w:t xml:space="preserve"> </w:t>
      </w:r>
      <w:r w:rsidR="006112FF" w:rsidRPr="003C243E">
        <w:rPr>
          <w:szCs w:val="20"/>
          <w:lang w:val="de-DE"/>
        </w:rPr>
        <w:t>über</w:t>
      </w:r>
      <w:r w:rsidR="00C02849" w:rsidRPr="003C243E">
        <w:rPr>
          <w:szCs w:val="20"/>
          <w:lang w:val="de-DE"/>
        </w:rPr>
        <w:t xml:space="preserve"> </w:t>
      </w:r>
      <w:r w:rsidRPr="003C243E">
        <w:rPr>
          <w:szCs w:val="20"/>
          <w:lang w:val="de-DE"/>
        </w:rPr>
        <w:t xml:space="preserve">die Haus-Metapher </w:t>
      </w:r>
      <w:r w:rsidR="00652455" w:rsidRPr="003C243E">
        <w:rPr>
          <w:szCs w:val="20"/>
          <w:lang w:val="de-DE"/>
        </w:rPr>
        <w:t>auch</w:t>
      </w:r>
      <w:r w:rsidR="00B96303" w:rsidRPr="003C243E">
        <w:rPr>
          <w:szCs w:val="20"/>
          <w:lang w:val="de-DE"/>
        </w:rPr>
        <w:t xml:space="preserve"> </w:t>
      </w:r>
      <w:r w:rsidRPr="003C243E">
        <w:rPr>
          <w:szCs w:val="20"/>
          <w:lang w:val="de-DE"/>
        </w:rPr>
        <w:t>in Gedicht XV von „Übergang“</w:t>
      </w:r>
      <w:r w:rsidRPr="003C243E">
        <w:rPr>
          <w:rStyle w:val="FootnoteReference"/>
          <w:szCs w:val="20"/>
          <w:lang w:val="de-DE"/>
        </w:rPr>
        <w:footnoteReference w:id="14"/>
      </w:r>
      <w:r w:rsidRPr="003C243E">
        <w:rPr>
          <w:szCs w:val="20"/>
          <w:lang w:val="de-DE"/>
        </w:rPr>
        <w:t xml:space="preserve"> </w:t>
      </w:r>
      <w:r w:rsidR="00B96303" w:rsidRPr="003C243E">
        <w:rPr>
          <w:szCs w:val="20"/>
          <w:lang w:val="de-DE"/>
        </w:rPr>
        <w:t xml:space="preserve">zum </w:t>
      </w:r>
      <w:r w:rsidRPr="003C243E">
        <w:rPr>
          <w:szCs w:val="20"/>
          <w:lang w:val="de-DE"/>
        </w:rPr>
        <w:t xml:space="preserve">Ausdruck: </w:t>
      </w:r>
    </w:p>
    <w:p w14:paraId="02BDFFC2" w14:textId="77777777" w:rsidR="00FF42F4" w:rsidRPr="003C243E" w:rsidRDefault="00FF42F4" w:rsidP="00FF42F4">
      <w:pPr>
        <w:pStyle w:val="KnigNeu"/>
        <w:ind w:firstLine="0"/>
        <w:rPr>
          <w:color w:val="000000" w:themeColor="text1"/>
          <w:szCs w:val="20"/>
          <w:lang w:val="de-DE"/>
        </w:rPr>
      </w:pPr>
    </w:p>
    <w:p w14:paraId="4E095F5C" w14:textId="77777777" w:rsidR="00CF6C7C" w:rsidRPr="003C243E" w:rsidRDefault="00CF6C7C" w:rsidP="00FF42F4">
      <w:pPr>
        <w:pStyle w:val="KnigGedichte"/>
        <w:rPr>
          <w:lang w:val="de-DE"/>
        </w:rPr>
      </w:pPr>
      <w:r w:rsidRPr="003C243E">
        <w:rPr>
          <w:lang w:val="de-DE"/>
        </w:rPr>
        <w:t>du kommst bis zur Tür und nicht weiter</w:t>
      </w:r>
    </w:p>
    <w:p w14:paraId="589C3ADE" w14:textId="77777777" w:rsidR="00CF6C7C" w:rsidRPr="003C243E" w:rsidRDefault="00CF6C7C" w:rsidP="00FF42F4">
      <w:pPr>
        <w:pStyle w:val="KnigGedichte"/>
        <w:rPr>
          <w:lang w:val="de-DE"/>
        </w:rPr>
      </w:pPr>
      <w:r w:rsidRPr="003C243E">
        <w:rPr>
          <w:lang w:val="de-DE"/>
        </w:rPr>
        <w:t>wir haben unsere Tür nie verriegelt</w:t>
      </w:r>
    </w:p>
    <w:p w14:paraId="7C8B3D72" w14:textId="77777777" w:rsidR="00CF6C7C" w:rsidRPr="003C243E" w:rsidRDefault="00CF6C7C" w:rsidP="00FF42F4">
      <w:pPr>
        <w:pStyle w:val="KnigGedichte"/>
        <w:rPr>
          <w:lang w:val="de-DE"/>
        </w:rPr>
      </w:pPr>
      <w:r w:rsidRPr="003C243E">
        <w:rPr>
          <w:lang w:val="de-DE"/>
        </w:rPr>
        <w:t>den Riegel gibt es</w:t>
      </w:r>
    </w:p>
    <w:p w14:paraId="04C146B6" w14:textId="77777777" w:rsidR="00CF6C7C" w:rsidRPr="003C243E" w:rsidRDefault="00CF6C7C" w:rsidP="00FF42F4">
      <w:pPr>
        <w:pStyle w:val="KnigGedichte"/>
        <w:rPr>
          <w:lang w:val="de-DE"/>
        </w:rPr>
      </w:pPr>
      <w:r w:rsidRPr="003C243E">
        <w:rPr>
          <w:lang w:val="de-DE"/>
        </w:rPr>
        <w:t>zwischen deinen Lippen</w:t>
      </w:r>
    </w:p>
    <w:p w14:paraId="05C2772F" w14:textId="77777777" w:rsidR="00CF6C7C" w:rsidRPr="003C243E" w:rsidRDefault="00CF6C7C" w:rsidP="00FF42F4">
      <w:pPr>
        <w:pStyle w:val="KnigGedichte"/>
        <w:rPr>
          <w:lang w:val="de-DE"/>
        </w:rPr>
      </w:pPr>
    </w:p>
    <w:p w14:paraId="1062E8FE" w14:textId="77777777" w:rsidR="00CF6C7C" w:rsidRPr="003C243E" w:rsidRDefault="00CF6C7C" w:rsidP="00FF42F4">
      <w:pPr>
        <w:pStyle w:val="KnigGedichte"/>
        <w:rPr>
          <w:lang w:val="de-DE"/>
        </w:rPr>
      </w:pPr>
      <w:r w:rsidRPr="003C243E">
        <w:rPr>
          <w:lang w:val="de-DE"/>
        </w:rPr>
        <w:t>gib mir dein Wort und ich öffne dir</w:t>
      </w:r>
    </w:p>
    <w:p w14:paraId="3D91247A" w14:textId="77777777" w:rsidR="00CF6C7C" w:rsidRPr="003C243E" w:rsidRDefault="00CF6C7C" w:rsidP="00FF42F4">
      <w:pPr>
        <w:pStyle w:val="KnigGedichte"/>
        <w:rPr>
          <w:lang w:val="de-DE"/>
        </w:rPr>
      </w:pPr>
    </w:p>
    <w:p w14:paraId="04312BC0" w14:textId="77777777" w:rsidR="00CF6C7C" w:rsidRPr="003C243E" w:rsidRDefault="00CF6C7C" w:rsidP="00FF42F4">
      <w:pPr>
        <w:pStyle w:val="KnigGedichte"/>
        <w:rPr>
          <w:lang w:val="de-DE"/>
        </w:rPr>
      </w:pPr>
      <w:r w:rsidRPr="003C243E">
        <w:rPr>
          <w:lang w:val="de-DE"/>
        </w:rPr>
        <w:t>wäre ich draußen</w:t>
      </w:r>
    </w:p>
    <w:p w14:paraId="6D68068A" w14:textId="77777777" w:rsidR="00CF6C7C" w:rsidRPr="003C243E" w:rsidRDefault="00CF6C7C" w:rsidP="00FF42F4">
      <w:pPr>
        <w:pStyle w:val="KnigGedichte"/>
        <w:rPr>
          <w:lang w:val="de-DE"/>
        </w:rPr>
      </w:pPr>
      <w:r w:rsidRPr="003C243E">
        <w:rPr>
          <w:lang w:val="de-DE"/>
        </w:rPr>
        <w:t>hörte ich dich drinnen singen</w:t>
      </w:r>
    </w:p>
    <w:p w14:paraId="4ACFD943" w14:textId="77777777" w:rsidR="00CF6C7C" w:rsidRPr="003C243E" w:rsidRDefault="00CF6C7C" w:rsidP="00FF42F4">
      <w:pPr>
        <w:pStyle w:val="KnigGedichte"/>
        <w:rPr>
          <w:lang w:val="de-DE"/>
        </w:rPr>
      </w:pPr>
      <w:r w:rsidRPr="003C243E">
        <w:rPr>
          <w:lang w:val="de-DE"/>
        </w:rPr>
        <w:t>jemand käme hinzu</w:t>
      </w:r>
    </w:p>
    <w:p w14:paraId="22CEC65E" w14:textId="77777777" w:rsidR="00CF6C7C" w:rsidRPr="003C243E" w:rsidRDefault="00CF6C7C" w:rsidP="00FF42F4">
      <w:pPr>
        <w:pStyle w:val="KnigGedichte"/>
        <w:rPr>
          <w:lang w:val="de-DE"/>
        </w:rPr>
      </w:pPr>
      <w:r w:rsidRPr="003C243E">
        <w:rPr>
          <w:lang w:val="de-DE"/>
        </w:rPr>
        <w:t>noch so einer der dich vermisst</w:t>
      </w:r>
    </w:p>
    <w:p w14:paraId="719CD49E" w14:textId="77777777" w:rsidR="00CF6C7C" w:rsidRPr="003C243E" w:rsidRDefault="00CF6C7C" w:rsidP="00FF42F4">
      <w:pPr>
        <w:pStyle w:val="KnigGedichte"/>
        <w:rPr>
          <w:lang w:val="de-DE"/>
        </w:rPr>
      </w:pPr>
      <w:r w:rsidRPr="003C243E">
        <w:rPr>
          <w:lang w:val="de-DE"/>
        </w:rPr>
        <w:t>und hören will das unerhörte Lied</w:t>
      </w:r>
    </w:p>
    <w:p w14:paraId="2895B4C0" w14:textId="77777777" w:rsidR="00FF42F4" w:rsidRPr="003C243E" w:rsidRDefault="00FF42F4" w:rsidP="00CF6C7C">
      <w:pPr>
        <w:pStyle w:val="KnigNeu"/>
        <w:rPr>
          <w:szCs w:val="20"/>
          <w:lang w:val="de-DE"/>
        </w:rPr>
      </w:pPr>
    </w:p>
    <w:p w14:paraId="01CA9703" w14:textId="6FD482AB" w:rsidR="009155EF" w:rsidRPr="003C243E" w:rsidRDefault="00CF6C7C" w:rsidP="009155EF">
      <w:pPr>
        <w:pStyle w:val="KnigNeu"/>
        <w:spacing w:line="240" w:lineRule="auto"/>
        <w:ind w:firstLine="0"/>
        <w:contextualSpacing/>
        <w:rPr>
          <w:szCs w:val="20"/>
          <w:lang w:val="de-DE"/>
        </w:rPr>
      </w:pPr>
      <w:r w:rsidRPr="003C243E">
        <w:rPr>
          <w:szCs w:val="20"/>
          <w:lang w:val="de-DE"/>
        </w:rPr>
        <w:t xml:space="preserve">Der Eintritt des Anderen ins Haus und die offene Tür (häufig verwendete Motive in </w:t>
      </w:r>
      <w:r w:rsidRPr="003C243E">
        <w:rPr>
          <w:i/>
          <w:szCs w:val="20"/>
          <w:lang w:val="de-DE"/>
        </w:rPr>
        <w:t>Übergang</w:t>
      </w:r>
      <w:r w:rsidRPr="003C243E">
        <w:rPr>
          <w:szCs w:val="20"/>
          <w:lang w:val="de-DE"/>
        </w:rPr>
        <w:t>)</w:t>
      </w:r>
      <w:r w:rsidRPr="003C243E">
        <w:rPr>
          <w:i/>
          <w:szCs w:val="20"/>
          <w:lang w:val="de-DE"/>
        </w:rPr>
        <w:t xml:space="preserve"> </w:t>
      </w:r>
      <w:r w:rsidRPr="003C243E">
        <w:rPr>
          <w:szCs w:val="20"/>
          <w:lang w:val="de-DE"/>
        </w:rPr>
        <w:t xml:space="preserve">deuten hier die </w:t>
      </w:r>
      <w:r w:rsidR="00B96303" w:rsidRPr="003C243E">
        <w:rPr>
          <w:szCs w:val="20"/>
          <w:lang w:val="de-DE"/>
        </w:rPr>
        <w:t>Öffnung</w:t>
      </w:r>
      <w:r w:rsidR="00C02849" w:rsidRPr="003C243E">
        <w:rPr>
          <w:szCs w:val="20"/>
          <w:lang w:val="de-DE"/>
        </w:rPr>
        <w:t xml:space="preserve"> </w:t>
      </w:r>
      <w:r w:rsidRPr="003C243E">
        <w:rPr>
          <w:szCs w:val="20"/>
          <w:lang w:val="de-DE"/>
        </w:rPr>
        <w:t>der Su</w:t>
      </w:r>
      <w:r w:rsidR="00694CE1" w:rsidRPr="003C243E">
        <w:rPr>
          <w:szCs w:val="20"/>
          <w:lang w:val="de-DE"/>
        </w:rPr>
        <w:t>bjektivität und die darauf</w:t>
      </w:r>
      <w:r w:rsidRPr="003C243E">
        <w:rPr>
          <w:szCs w:val="20"/>
          <w:lang w:val="de-DE"/>
        </w:rPr>
        <w:t xml:space="preserve">folgende ontologische Verzahntheit des </w:t>
      </w:r>
      <w:r w:rsidR="00910D06" w:rsidRPr="003C243E">
        <w:rPr>
          <w:szCs w:val="20"/>
          <w:lang w:val="de-DE"/>
        </w:rPr>
        <w:t>‚</w:t>
      </w:r>
      <w:r w:rsidRPr="003C243E">
        <w:rPr>
          <w:szCs w:val="20"/>
          <w:lang w:val="de-DE"/>
        </w:rPr>
        <w:t>Mitseins</w:t>
      </w:r>
      <w:r w:rsidR="00910D06" w:rsidRPr="003C243E">
        <w:rPr>
          <w:szCs w:val="20"/>
          <w:lang w:val="de-DE"/>
        </w:rPr>
        <w:t>’</w:t>
      </w:r>
      <w:r w:rsidRPr="003C243E">
        <w:rPr>
          <w:szCs w:val="20"/>
          <w:lang w:val="de-DE"/>
        </w:rPr>
        <w:t xml:space="preserve"> an</w:t>
      </w:r>
      <w:r w:rsidR="007251CB" w:rsidRPr="003C243E">
        <w:rPr>
          <w:szCs w:val="20"/>
          <w:lang w:val="de-DE"/>
        </w:rPr>
        <w:t>.</w:t>
      </w:r>
      <w:r w:rsidRPr="003C243E">
        <w:rPr>
          <w:szCs w:val="20"/>
          <w:lang w:val="de-DE"/>
        </w:rPr>
        <w:t xml:space="preserve"> </w:t>
      </w:r>
      <w:r w:rsidR="007251CB" w:rsidRPr="003C243E">
        <w:rPr>
          <w:szCs w:val="20"/>
          <w:lang w:val="de-DE"/>
        </w:rPr>
        <w:t>S</w:t>
      </w:r>
      <w:r w:rsidR="00910D06" w:rsidRPr="003C243E">
        <w:rPr>
          <w:szCs w:val="20"/>
          <w:lang w:val="de-DE"/>
        </w:rPr>
        <w:t>ie</w:t>
      </w:r>
      <w:r w:rsidRPr="003C243E">
        <w:rPr>
          <w:szCs w:val="20"/>
          <w:lang w:val="de-DE"/>
        </w:rPr>
        <w:t xml:space="preserve"> erschüttern die angebliche Geschlossenheit sowohl des Selbst als auch der Sprachgemeinschaft.</w:t>
      </w:r>
      <w:r w:rsidR="00694CE1" w:rsidRPr="003C243E">
        <w:rPr>
          <w:szCs w:val="20"/>
          <w:lang w:val="de-DE"/>
        </w:rPr>
        <w:t xml:space="preserve"> </w:t>
      </w:r>
      <w:r w:rsidR="00694CE1" w:rsidRPr="003C243E">
        <w:rPr>
          <w:szCs w:val="20"/>
          <w:lang w:val="de-DE"/>
        </w:rPr>
        <w:t xml:space="preserve">Das antifundamentalistische Ich in </w:t>
      </w:r>
      <w:r w:rsidR="00694CE1" w:rsidRPr="003C243E">
        <w:rPr>
          <w:i/>
          <w:szCs w:val="20"/>
          <w:lang w:val="de-DE"/>
        </w:rPr>
        <w:t>Übergang</w:t>
      </w:r>
      <w:r w:rsidR="00694CE1" w:rsidRPr="003C243E">
        <w:rPr>
          <w:szCs w:val="20"/>
          <w:lang w:val="de-DE"/>
        </w:rPr>
        <w:t xml:space="preserve"> ist bestimmt auch durch die Sufidichtung inspiriert, besonders durch Yunus Emre, dessen Werk Şenocak übersetzte und im Essay „Zwischen Koran und Sexpistols“ (2005) als „ein[en] befremdet[en] Blick auf das Eigene“</w:t>
      </w:r>
      <w:r w:rsidR="00694CE1" w:rsidRPr="003C243E">
        <w:rPr>
          <w:rStyle w:val="FootnoteReference"/>
          <w:szCs w:val="20"/>
          <w:lang w:val="de-DE"/>
        </w:rPr>
        <w:footnoteReference w:id="15"/>
      </w:r>
      <w:r w:rsidR="00694CE1" w:rsidRPr="003C243E">
        <w:rPr>
          <w:szCs w:val="20"/>
          <w:lang w:val="de-DE"/>
        </w:rPr>
        <w:t xml:space="preserve"> schildert.</w:t>
      </w:r>
      <w:r w:rsidR="009155EF" w:rsidRPr="003C243E">
        <w:rPr>
          <w:szCs w:val="20"/>
          <w:lang w:val="de-DE"/>
        </w:rPr>
        <w:t xml:space="preserve"> Das </w:t>
      </w:r>
      <w:r w:rsidR="009155EF" w:rsidRPr="003C243E">
        <w:rPr>
          <w:szCs w:val="20"/>
          <w:lang w:val="de-DE"/>
        </w:rPr>
        <w:lastRenderedPageBreak/>
        <w:t>obenerwähn</w:t>
      </w:r>
      <w:r w:rsidR="00BC3233" w:rsidRPr="003C243E">
        <w:rPr>
          <w:szCs w:val="20"/>
          <w:lang w:val="de-DE"/>
        </w:rPr>
        <w:t>te Gedicht erinnert z.B. an ein</w:t>
      </w:r>
      <w:r w:rsidR="009155EF" w:rsidRPr="003C243E">
        <w:rPr>
          <w:szCs w:val="20"/>
          <w:lang w:val="de-DE"/>
        </w:rPr>
        <w:t xml:space="preserve"> </w:t>
      </w:r>
      <w:r w:rsidR="00BC3233" w:rsidRPr="003C243E">
        <w:rPr>
          <w:szCs w:val="20"/>
          <w:lang w:val="de-DE"/>
        </w:rPr>
        <w:t>Gedicht</w:t>
      </w:r>
      <w:r w:rsidR="009155EF" w:rsidRPr="003C243E">
        <w:rPr>
          <w:szCs w:val="20"/>
          <w:lang w:val="de-DE"/>
        </w:rPr>
        <w:t xml:space="preserve"> Emre</w:t>
      </w:r>
      <w:r w:rsidR="00BC3233" w:rsidRPr="003C243E">
        <w:rPr>
          <w:szCs w:val="20"/>
          <w:lang w:val="de-DE"/>
        </w:rPr>
        <w:t>s</w:t>
      </w:r>
      <w:r w:rsidR="009155EF" w:rsidRPr="003C243E">
        <w:rPr>
          <w:szCs w:val="20"/>
          <w:lang w:val="de-DE"/>
        </w:rPr>
        <w:t xml:space="preserve">, das die Beziehungen zwischen dem Selbst und dem Anderen und zwischen Gott und dem Menschen </w:t>
      </w:r>
      <w:r w:rsidR="00BC3233" w:rsidRPr="003C243E">
        <w:rPr>
          <w:szCs w:val="20"/>
          <w:lang w:val="de-DE"/>
        </w:rPr>
        <w:t>verwirrt</w:t>
      </w:r>
      <w:r w:rsidR="009155EF" w:rsidRPr="003C243E">
        <w:rPr>
          <w:szCs w:val="20"/>
          <w:lang w:val="de-DE"/>
        </w:rPr>
        <w:t>:</w:t>
      </w:r>
    </w:p>
    <w:p w14:paraId="549BAA58" w14:textId="77777777" w:rsidR="009155EF" w:rsidRPr="003C243E" w:rsidRDefault="009155EF" w:rsidP="007916D6">
      <w:pPr>
        <w:pStyle w:val="IntenseQuote"/>
        <w:contextualSpacing/>
        <w:rPr>
          <w:szCs w:val="20"/>
          <w:lang w:val="de-DE"/>
        </w:rPr>
      </w:pPr>
      <w:r w:rsidRPr="003C243E">
        <w:rPr>
          <w:rFonts w:ascii="OrigGarmnd BT" w:hAnsi="OrigGarmnd BT"/>
          <w:sz w:val="20"/>
          <w:szCs w:val="20"/>
          <w:lang w:val="de-DE"/>
        </w:rPr>
        <w:t>Es gibt ein Ich in mir weiter drinnen</w:t>
      </w:r>
    </w:p>
    <w:p w14:paraId="14704962" w14:textId="77777777" w:rsidR="009155EF" w:rsidRPr="003C243E" w:rsidRDefault="009155EF" w:rsidP="007916D6">
      <w:pPr>
        <w:pStyle w:val="IntenseQuote"/>
        <w:contextualSpacing/>
        <w:rPr>
          <w:szCs w:val="20"/>
          <w:lang w:val="de-DE"/>
        </w:rPr>
      </w:pPr>
      <w:r w:rsidRPr="003C243E">
        <w:rPr>
          <w:rFonts w:ascii="OrigGarmnd BT" w:hAnsi="OrigGarmnd BT"/>
          <w:sz w:val="20"/>
          <w:szCs w:val="20"/>
          <w:lang w:val="de-DE"/>
        </w:rPr>
        <w:t>Was ich betrachte ist voll von dir</w:t>
      </w:r>
    </w:p>
    <w:p w14:paraId="2E1BBC1B" w14:textId="77777777" w:rsidR="009155EF" w:rsidRPr="003C243E" w:rsidRDefault="009155EF" w:rsidP="007916D6">
      <w:pPr>
        <w:pStyle w:val="IntenseQuote"/>
        <w:contextualSpacing/>
        <w:rPr>
          <w:szCs w:val="20"/>
          <w:lang w:val="de-DE"/>
        </w:rPr>
      </w:pPr>
      <w:r w:rsidRPr="003C243E">
        <w:rPr>
          <w:rFonts w:ascii="OrigGarmnd BT" w:hAnsi="OrigGarmnd BT"/>
          <w:sz w:val="20"/>
          <w:szCs w:val="20"/>
          <w:lang w:val="de-DE"/>
        </w:rPr>
        <w:t>Wo laß ich dich außer in mir weiter drinnen</w:t>
      </w:r>
    </w:p>
    <w:p w14:paraId="050130AB" w14:textId="77777777" w:rsidR="009155EF" w:rsidRPr="003C243E" w:rsidRDefault="009155EF" w:rsidP="007916D6">
      <w:pPr>
        <w:pStyle w:val="IntenseQuote"/>
        <w:contextualSpacing/>
        <w:rPr>
          <w:szCs w:val="20"/>
          <w:lang w:val="de-DE"/>
        </w:rPr>
      </w:pPr>
      <w:r w:rsidRPr="003C243E">
        <w:rPr>
          <w:rFonts w:ascii="OrigGarmnd BT" w:hAnsi="OrigGarmnd BT"/>
          <w:sz w:val="20"/>
          <w:szCs w:val="20"/>
          <w:lang w:val="de-DE"/>
        </w:rPr>
        <w:t>[…]</w:t>
      </w:r>
    </w:p>
    <w:p w14:paraId="5E6C9525" w14:textId="77777777" w:rsidR="009155EF" w:rsidRPr="003C243E" w:rsidRDefault="009155EF" w:rsidP="007916D6">
      <w:pPr>
        <w:pStyle w:val="IntenseQuote"/>
        <w:contextualSpacing/>
        <w:rPr>
          <w:szCs w:val="20"/>
          <w:lang w:val="de-DE"/>
        </w:rPr>
      </w:pPr>
      <w:r w:rsidRPr="003C243E">
        <w:rPr>
          <w:rFonts w:ascii="OrigGarmnd BT" w:hAnsi="OrigGarmnd BT"/>
          <w:sz w:val="20"/>
          <w:szCs w:val="20"/>
          <w:lang w:val="de-DE"/>
        </w:rPr>
        <w:t>Zum Freund gehend verläuft sich Yunus</w:t>
      </w:r>
    </w:p>
    <w:p w14:paraId="52F1F011" w14:textId="30C8B84F" w:rsidR="00CF6C7C" w:rsidRPr="003C243E" w:rsidRDefault="009155EF" w:rsidP="007916D6">
      <w:pPr>
        <w:pStyle w:val="IntenseQuote"/>
        <w:contextualSpacing/>
        <w:rPr>
          <w:szCs w:val="20"/>
          <w:lang w:val="de-DE"/>
        </w:rPr>
      </w:pPr>
      <w:r w:rsidRPr="003C243E">
        <w:rPr>
          <w:rFonts w:ascii="OrigGarmnd BT" w:hAnsi="OrigGarmnd BT"/>
          <w:sz w:val="20"/>
          <w:szCs w:val="20"/>
          <w:lang w:val="de-DE"/>
        </w:rPr>
        <w:t>Steht vor der Tür und nicht weiter drinnen</w:t>
      </w:r>
      <w:r w:rsidRPr="003C243E">
        <w:rPr>
          <w:rStyle w:val="FootnoteReference"/>
          <w:rFonts w:ascii="OrigGarmnd BT" w:hAnsi="OrigGarmnd BT"/>
          <w:sz w:val="20"/>
          <w:szCs w:val="20"/>
          <w:lang w:val="de-DE"/>
        </w:rPr>
        <w:footnoteReference w:id="16"/>
      </w:r>
    </w:p>
    <w:p w14:paraId="26939604" w14:textId="51B42249" w:rsidR="00CF6C7C" w:rsidRPr="003C243E" w:rsidRDefault="00CF6C7C" w:rsidP="009155EF">
      <w:pPr>
        <w:pStyle w:val="KnigNeu"/>
        <w:spacing w:line="240" w:lineRule="auto"/>
        <w:contextualSpacing/>
        <w:rPr>
          <w:szCs w:val="20"/>
          <w:lang w:val="de-DE"/>
        </w:rPr>
      </w:pPr>
      <w:r w:rsidRPr="003C243E">
        <w:rPr>
          <w:szCs w:val="20"/>
          <w:lang w:val="de-DE"/>
        </w:rPr>
        <w:t xml:space="preserve">Diese Schwächung der Grenzen des Selbst stellt auch kulturelle Grenzen in Frage, sowohl in Şenocaks als auch in Nancys Denken. In seinem Essay „Der Dichter und die Deserteure: Rushdie und seine </w:t>
      </w:r>
      <w:r w:rsidRPr="003C243E">
        <w:rPr>
          <w:i/>
          <w:szCs w:val="20"/>
          <w:lang w:val="de-DE"/>
        </w:rPr>
        <w:t>Satanischen Verse</w:t>
      </w:r>
      <w:r w:rsidRPr="003C243E">
        <w:rPr>
          <w:szCs w:val="20"/>
          <w:lang w:val="de-DE"/>
        </w:rPr>
        <w:t xml:space="preserve"> zwischen den Fronten“ (1992) plädiert Şenocak nicht für die Rückkehr </w:t>
      </w:r>
      <w:r w:rsidR="00597551" w:rsidRPr="003C243E">
        <w:rPr>
          <w:szCs w:val="20"/>
          <w:lang w:val="de-DE"/>
        </w:rPr>
        <w:t xml:space="preserve">zur </w:t>
      </w:r>
      <w:r w:rsidRPr="003C243E">
        <w:rPr>
          <w:szCs w:val="20"/>
          <w:lang w:val="de-DE"/>
        </w:rPr>
        <w:t>Individualisierung, um sich mit den heutigen Identitätskonflikten auseinanderzusetzen, sondern für eine „negative Hermeneutik“, nämlich dafür, dass man sich eher auf das Unverständliche konzentriert, als dass man versucht, den Anderen durch die eigene kulturelle Linse zu verstehen</w:t>
      </w:r>
      <w:r w:rsidR="00BC3233" w:rsidRPr="003C243E">
        <w:rPr>
          <w:szCs w:val="20"/>
          <w:lang w:val="de-DE"/>
        </w:rPr>
        <w:t>,</w:t>
      </w:r>
      <w:r w:rsidRPr="003C243E">
        <w:rPr>
          <w:rStyle w:val="FootnoteAnchor"/>
          <w:szCs w:val="20"/>
          <w:lang w:val="de-DE"/>
        </w:rPr>
        <w:footnoteReference w:id="17"/>
      </w:r>
      <w:r w:rsidR="00BC3233" w:rsidRPr="003C243E">
        <w:rPr>
          <w:szCs w:val="20"/>
          <w:lang w:val="de-DE"/>
        </w:rPr>
        <w:t xml:space="preserve"> ebenso wie die Dichtung Şenocaks eine </w:t>
      </w:r>
      <w:r w:rsidR="00346BAA">
        <w:rPr>
          <w:szCs w:val="20"/>
          <w:lang w:val="de-DE"/>
        </w:rPr>
        <w:t>endgültige</w:t>
      </w:r>
      <w:r w:rsidR="00BC3233" w:rsidRPr="003C243E">
        <w:rPr>
          <w:szCs w:val="20"/>
          <w:lang w:val="de-DE"/>
        </w:rPr>
        <w:t xml:space="preserve"> Auslegung entgegenwirkt.</w:t>
      </w:r>
      <w:r w:rsidRPr="003C243E">
        <w:rPr>
          <w:szCs w:val="20"/>
          <w:lang w:val="de-DE"/>
        </w:rPr>
        <w:t xml:space="preserve"> Hier kann man eine direkte Beschäftigung mit </w:t>
      </w:r>
      <w:r w:rsidR="00B96303" w:rsidRPr="003C243E">
        <w:rPr>
          <w:szCs w:val="20"/>
          <w:lang w:val="de-DE"/>
        </w:rPr>
        <w:t xml:space="preserve">Theodor Adornos </w:t>
      </w:r>
      <w:r w:rsidR="00597551" w:rsidRPr="003C243E">
        <w:rPr>
          <w:szCs w:val="20"/>
          <w:lang w:val="de-DE"/>
        </w:rPr>
        <w:t>Konzept</w:t>
      </w:r>
      <w:r w:rsidR="00C02849" w:rsidRPr="003C243E">
        <w:rPr>
          <w:szCs w:val="20"/>
          <w:lang w:val="de-DE"/>
        </w:rPr>
        <w:t xml:space="preserve"> </w:t>
      </w:r>
      <w:r w:rsidR="00597551" w:rsidRPr="003C243E">
        <w:rPr>
          <w:szCs w:val="20"/>
          <w:lang w:val="de-DE"/>
        </w:rPr>
        <w:t>des</w:t>
      </w:r>
      <w:r w:rsidR="00C02849" w:rsidRPr="003C243E">
        <w:rPr>
          <w:szCs w:val="20"/>
          <w:lang w:val="de-DE"/>
        </w:rPr>
        <w:t xml:space="preserve"> </w:t>
      </w:r>
      <w:r w:rsidRPr="003C243E">
        <w:rPr>
          <w:szCs w:val="20"/>
          <w:lang w:val="de-DE"/>
        </w:rPr>
        <w:t xml:space="preserve">„Nichtidentischen“ aus </w:t>
      </w:r>
      <w:r w:rsidR="00B96303" w:rsidRPr="003C243E">
        <w:rPr>
          <w:szCs w:val="20"/>
          <w:lang w:val="de-DE"/>
        </w:rPr>
        <w:t xml:space="preserve">der </w:t>
      </w:r>
      <w:r w:rsidRPr="003C243E">
        <w:rPr>
          <w:i/>
          <w:szCs w:val="20"/>
          <w:lang w:val="de-DE"/>
        </w:rPr>
        <w:t>Negative</w:t>
      </w:r>
      <w:r w:rsidR="00B96303" w:rsidRPr="003C243E">
        <w:rPr>
          <w:i/>
          <w:szCs w:val="20"/>
          <w:lang w:val="de-DE"/>
        </w:rPr>
        <w:t>n</w:t>
      </w:r>
      <w:r w:rsidRPr="003C243E">
        <w:rPr>
          <w:i/>
          <w:szCs w:val="20"/>
          <w:lang w:val="de-DE"/>
        </w:rPr>
        <w:t xml:space="preserve"> Dialektik</w:t>
      </w:r>
      <w:r w:rsidRPr="003C243E">
        <w:rPr>
          <w:szCs w:val="20"/>
          <w:lang w:val="de-DE"/>
        </w:rPr>
        <w:t xml:space="preserve"> (1966) sehen, die die Unterdrückung von Alterität durch den Drang nach Einheit und Identität betont:</w:t>
      </w:r>
    </w:p>
    <w:p w14:paraId="06EEE921" w14:textId="3FBB71BB" w:rsidR="00CF6C7C" w:rsidRPr="003C243E" w:rsidRDefault="00CF6C7C" w:rsidP="00FF42F4">
      <w:pPr>
        <w:pStyle w:val="KnigZitate"/>
        <w:rPr>
          <w:lang w:val="de-DE"/>
        </w:rPr>
      </w:pPr>
      <w:r w:rsidRPr="003C243E">
        <w:rPr>
          <w:lang w:val="de-DE"/>
        </w:rPr>
        <w:t>Da aber jene Totalität sich gemäß der Logik aufbaut, deren Kern der Satz vom ausgeschlossenen Dritten bildet, so nimmt alles, was ihm nicht sich einfügt, alles qualitativ Verschiedene, die Signatur des Widerspruchs an. Der Widerspruch ist das Nichtidentische unter dem Aspekt der Identität; der Primat des Widerspruchsprinzips in der Dialektik mißt das Heterogene am Einheitsdenken.</w:t>
      </w:r>
      <w:r w:rsidRPr="003C243E">
        <w:rPr>
          <w:rStyle w:val="FootnoteReference"/>
          <w:sz w:val="20"/>
          <w:szCs w:val="20"/>
          <w:lang w:val="de-DE"/>
        </w:rPr>
        <w:footnoteReference w:id="18"/>
      </w:r>
    </w:p>
    <w:p w14:paraId="398E49AE" w14:textId="79B093F5" w:rsidR="00CF6C7C" w:rsidRPr="003C243E" w:rsidRDefault="00CF6C7C" w:rsidP="00AE3017">
      <w:pPr>
        <w:pStyle w:val="KnigNeu"/>
        <w:ind w:firstLine="0"/>
        <w:rPr>
          <w:szCs w:val="20"/>
          <w:lang w:val="de-DE"/>
        </w:rPr>
      </w:pPr>
      <w:r w:rsidRPr="003C243E">
        <w:rPr>
          <w:szCs w:val="20"/>
          <w:lang w:val="de-DE"/>
        </w:rPr>
        <w:t>In dieser Beziehung argumentiert Şenocak später im Essay „Die atonale Welt: Wieviel Vielfalt ertragen wir?“ (2011): „Wir brauchen keine Einheit“;</w:t>
      </w:r>
      <w:r w:rsidRPr="003C243E">
        <w:rPr>
          <w:rStyle w:val="FootnoteAnchor"/>
          <w:szCs w:val="20"/>
          <w:lang w:val="de-DE"/>
        </w:rPr>
        <w:footnoteReference w:id="19"/>
      </w:r>
      <w:r w:rsidRPr="003C243E">
        <w:rPr>
          <w:szCs w:val="20"/>
          <w:lang w:val="de-DE"/>
        </w:rPr>
        <w:t xml:space="preserve"> und diesen Widerstand gegen die Homogenisierung – der Frankfurter Schule </w:t>
      </w:r>
      <w:r w:rsidR="00A53A4E" w:rsidRPr="003C243E">
        <w:rPr>
          <w:szCs w:val="20"/>
          <w:lang w:val="de-DE"/>
        </w:rPr>
        <w:t>ge</w:t>
      </w:r>
      <w:r w:rsidRPr="003C243E">
        <w:rPr>
          <w:szCs w:val="20"/>
          <w:lang w:val="de-DE"/>
        </w:rPr>
        <w:t>schuldet – kann man durch die antifundamentalistische Ontologie Nancys weiter erläutern.</w:t>
      </w:r>
    </w:p>
    <w:p w14:paraId="70E0C6B5" w14:textId="3514AF5E" w:rsidR="00CF6C7C" w:rsidRPr="003C243E" w:rsidRDefault="00CF6C7C" w:rsidP="00C02849">
      <w:pPr>
        <w:pStyle w:val="KnigNeu"/>
        <w:rPr>
          <w:szCs w:val="20"/>
          <w:lang w:val="de-DE"/>
        </w:rPr>
      </w:pPr>
      <w:r w:rsidRPr="003C243E">
        <w:rPr>
          <w:szCs w:val="20"/>
          <w:lang w:val="de-DE"/>
        </w:rPr>
        <w:lastRenderedPageBreak/>
        <w:t xml:space="preserve">Nancy </w:t>
      </w:r>
      <w:r w:rsidR="00252FFD" w:rsidRPr="003C243E">
        <w:rPr>
          <w:szCs w:val="20"/>
          <w:lang w:val="de-DE"/>
        </w:rPr>
        <w:t>versteht</w:t>
      </w:r>
      <w:r w:rsidR="00C02849" w:rsidRPr="003C243E">
        <w:rPr>
          <w:szCs w:val="20"/>
          <w:lang w:val="de-DE"/>
        </w:rPr>
        <w:t xml:space="preserve"> </w:t>
      </w:r>
      <w:r w:rsidRPr="003C243E">
        <w:rPr>
          <w:szCs w:val="20"/>
          <w:lang w:val="de-DE"/>
        </w:rPr>
        <w:t xml:space="preserve">Identität nicht im interkulturellen Sinne als das vollendete und stabile Produkt einer Mischung, bei der </w:t>
      </w:r>
      <w:r w:rsidR="00252FFD" w:rsidRPr="003C243E">
        <w:rPr>
          <w:szCs w:val="20"/>
          <w:lang w:val="de-DE"/>
        </w:rPr>
        <w:t>reine</w:t>
      </w:r>
      <w:r w:rsidR="00C02849" w:rsidRPr="003C243E">
        <w:rPr>
          <w:szCs w:val="20"/>
          <w:lang w:val="de-DE"/>
        </w:rPr>
        <w:t xml:space="preserve"> </w:t>
      </w:r>
      <w:r w:rsidRPr="003C243E">
        <w:rPr>
          <w:szCs w:val="20"/>
          <w:lang w:val="de-DE"/>
        </w:rPr>
        <w:t>Identitäten miteinander verschmelzen, sondern als eine</w:t>
      </w:r>
      <w:r w:rsidR="00252FFD" w:rsidRPr="003C243E">
        <w:rPr>
          <w:szCs w:val="20"/>
          <w:lang w:val="de-DE"/>
        </w:rPr>
        <w:t>n</w:t>
      </w:r>
      <w:r w:rsidRPr="003C243E">
        <w:rPr>
          <w:szCs w:val="20"/>
          <w:lang w:val="de-DE"/>
        </w:rPr>
        <w:t xml:space="preserve"> </w:t>
      </w:r>
      <w:r w:rsidR="00252FFD" w:rsidRPr="003C243E">
        <w:rPr>
          <w:szCs w:val="20"/>
          <w:lang w:val="de-DE"/>
        </w:rPr>
        <w:t xml:space="preserve">nie </w:t>
      </w:r>
      <w:r w:rsidRPr="003C243E">
        <w:rPr>
          <w:szCs w:val="20"/>
          <w:lang w:val="de-DE"/>
        </w:rPr>
        <w:t>endende</w:t>
      </w:r>
      <w:r w:rsidR="00252FFD" w:rsidRPr="003C243E">
        <w:rPr>
          <w:szCs w:val="20"/>
          <w:lang w:val="de-DE"/>
        </w:rPr>
        <w:t>n</w:t>
      </w:r>
      <w:r w:rsidRPr="003C243E">
        <w:rPr>
          <w:szCs w:val="20"/>
          <w:lang w:val="de-DE"/>
        </w:rPr>
        <w:t xml:space="preserve"> Prozess der Vermischung und Transformation, bei der eher Differenzierung als Integration stattfindet: „Selbst im Unendlichen wird sie nicht mit sich identisch, kommt sie nicht bei sich an, </w:t>
      </w:r>
      <w:r w:rsidRPr="003C243E">
        <w:rPr>
          <w:i/>
          <w:szCs w:val="20"/>
          <w:lang w:val="de-DE"/>
        </w:rPr>
        <w:t>weil sie immer schon da ist</w:t>
      </w:r>
      <w:r w:rsidRPr="003C243E">
        <w:rPr>
          <w:szCs w:val="20"/>
          <w:lang w:val="de-DE"/>
        </w:rPr>
        <w:t>, weil sie, die Identität, die Vermischung ist.“</w:t>
      </w:r>
      <w:r w:rsidRPr="003C243E">
        <w:rPr>
          <w:rStyle w:val="FootnoteReference"/>
          <w:szCs w:val="20"/>
          <w:lang w:val="de-DE"/>
        </w:rPr>
        <w:footnoteReference w:id="20"/>
      </w:r>
      <w:r w:rsidRPr="003C243E">
        <w:rPr>
          <w:szCs w:val="20"/>
          <w:lang w:val="de-DE"/>
        </w:rPr>
        <w:t xml:space="preserve"> </w:t>
      </w:r>
      <w:r w:rsidR="00947F76" w:rsidRPr="003C243E">
        <w:rPr>
          <w:szCs w:val="20"/>
          <w:lang w:val="de-DE"/>
        </w:rPr>
        <w:t xml:space="preserve">Die Homogenisierung ist für Nancy deswegen problematisch, weil die Auffassung vom Individuum und der Gesellschaft als homogene Einheiten und ihr Drang nach Vereinigung </w:t>
      </w:r>
      <w:r w:rsidR="00346BAA">
        <w:rPr>
          <w:szCs w:val="20"/>
          <w:lang w:val="de-DE"/>
        </w:rPr>
        <w:t>irrig</w:t>
      </w:r>
      <w:r w:rsidR="00947F76" w:rsidRPr="003C243E">
        <w:rPr>
          <w:szCs w:val="20"/>
          <w:lang w:val="de-DE"/>
        </w:rPr>
        <w:t xml:space="preserve"> ist. </w:t>
      </w:r>
      <w:r w:rsidR="00947F76" w:rsidRPr="003C243E">
        <w:rPr>
          <w:szCs w:val="20"/>
          <w:lang w:val="de-DE"/>
        </w:rPr>
        <w:t>Diese kulturelle Vermischung lässt sich in der Literatur Şenocaks als eine kosmopolitische Geste verstehen</w:t>
      </w:r>
      <w:r w:rsidR="00947F76" w:rsidRPr="003C243E">
        <w:rPr>
          <w:rStyle w:val="FootnoteReference"/>
          <w:szCs w:val="20"/>
          <w:lang w:val="de-DE"/>
        </w:rPr>
        <w:footnoteReference w:id="21"/>
      </w:r>
      <w:r w:rsidR="00947F76" w:rsidRPr="003C243E">
        <w:rPr>
          <w:szCs w:val="20"/>
          <w:lang w:val="de-DE"/>
        </w:rPr>
        <w:t xml:space="preserve"> und a</w:t>
      </w:r>
      <w:r w:rsidRPr="003C243E">
        <w:rPr>
          <w:szCs w:val="20"/>
          <w:lang w:val="de-DE"/>
        </w:rPr>
        <w:t xml:space="preserve">us diesem Grund sehe ich Şenocak als kosmopolitischen und nicht als „transkulturellen“ Autor, da im Sinne Nancys jede </w:t>
      </w:r>
      <w:r w:rsidR="00947F76" w:rsidRPr="003C243E">
        <w:rPr>
          <w:szCs w:val="20"/>
          <w:lang w:val="de-DE"/>
        </w:rPr>
        <w:t xml:space="preserve">Person </w:t>
      </w:r>
      <w:r w:rsidRPr="003C243E">
        <w:rPr>
          <w:szCs w:val="20"/>
          <w:lang w:val="de-DE"/>
        </w:rPr>
        <w:t>transkulturell ist</w:t>
      </w:r>
      <w:r w:rsidR="00947F76" w:rsidRPr="003C243E">
        <w:rPr>
          <w:szCs w:val="20"/>
          <w:lang w:val="de-DE"/>
        </w:rPr>
        <w:t>, d.h., jede Person wird durch verschiedene Kulturen</w:t>
      </w:r>
      <w:r w:rsidR="00BC3233" w:rsidRPr="003C243E">
        <w:rPr>
          <w:szCs w:val="20"/>
          <w:lang w:val="de-DE"/>
        </w:rPr>
        <w:t xml:space="preserve"> mit verschwommenen Grenzen</w:t>
      </w:r>
      <w:r w:rsidR="00947F76" w:rsidRPr="003C243E">
        <w:rPr>
          <w:szCs w:val="20"/>
          <w:lang w:val="de-DE"/>
        </w:rPr>
        <w:t xml:space="preserve"> geprägt</w:t>
      </w:r>
      <w:r w:rsidRPr="003C243E">
        <w:rPr>
          <w:szCs w:val="20"/>
          <w:lang w:val="de-DE"/>
        </w:rPr>
        <w:t xml:space="preserve">. </w:t>
      </w:r>
    </w:p>
    <w:p w14:paraId="3556B7CF" w14:textId="74EF7239" w:rsidR="00CF6C7C" w:rsidRPr="003C243E" w:rsidRDefault="00CF6C7C" w:rsidP="00C02849">
      <w:pPr>
        <w:pStyle w:val="KnigNeu"/>
        <w:rPr>
          <w:szCs w:val="20"/>
          <w:lang w:val="de-DE"/>
        </w:rPr>
      </w:pPr>
      <w:r w:rsidRPr="003C243E">
        <w:rPr>
          <w:szCs w:val="20"/>
          <w:lang w:val="de-DE"/>
        </w:rPr>
        <w:t xml:space="preserve">Die Einstellungen Şenocaks und Nancys zu Identität und Kultur </w:t>
      </w:r>
      <w:r w:rsidR="00245F74" w:rsidRPr="003C243E">
        <w:rPr>
          <w:szCs w:val="20"/>
          <w:lang w:val="de-DE"/>
        </w:rPr>
        <w:t>sind</w:t>
      </w:r>
      <w:r w:rsidR="005D451A" w:rsidRPr="003C243E">
        <w:rPr>
          <w:szCs w:val="20"/>
          <w:lang w:val="de-DE"/>
        </w:rPr>
        <w:t xml:space="preserve"> </w:t>
      </w:r>
      <w:r w:rsidRPr="003C243E">
        <w:rPr>
          <w:szCs w:val="20"/>
          <w:lang w:val="de-DE"/>
        </w:rPr>
        <w:t>deshalb unvereinbar mit dem auf der Gadamerschen Horizontverschmelzung basierenden interkulturellen Dialog, der zu den beliebtesten Methodiken der inlandsgermanistischen Şenocak-Forschung gehört, schließlich gibt es keine festen Subjekt</w:t>
      </w:r>
      <w:r w:rsidR="00245F74" w:rsidRPr="003C243E">
        <w:rPr>
          <w:szCs w:val="20"/>
          <w:lang w:val="de-DE"/>
        </w:rPr>
        <w:t>positionen</w:t>
      </w:r>
      <w:r w:rsidRPr="003C243E">
        <w:rPr>
          <w:szCs w:val="20"/>
          <w:lang w:val="de-DE"/>
        </w:rPr>
        <w:t xml:space="preserve">, von denen aus man verhandeln könnte – ebenso wie es keine festen Kulturen gibt, die sich miteinander mischen lassen. Wohingegen Horizontverschmelzung, so unerreichbar sie auch sein mag, das Überbrücken zweier eigenständiger Welten bzw. Horizonte zur Folge hat, </w:t>
      </w:r>
      <w:r w:rsidR="00245F74" w:rsidRPr="003C243E">
        <w:rPr>
          <w:szCs w:val="20"/>
          <w:lang w:val="de-DE"/>
        </w:rPr>
        <w:t xml:space="preserve">sprechen </w:t>
      </w:r>
      <w:r w:rsidRPr="003C243E">
        <w:rPr>
          <w:szCs w:val="20"/>
          <w:lang w:val="de-DE"/>
        </w:rPr>
        <w:t>Şenocak und Nancy von Heterogenität und einer Offenheit zur Alterität. Eine solche antifundamentalistische Identitätsvorstellung kann, so behaupte ich, die Lyrik Şenocaks erhellen, die die Mehrdeutigkeit akzeptiert, statt die Vielschichtigkeit der kulturellen Vermischung durch die Assimilation der Alterität des Anderen in die eige</w:t>
      </w:r>
      <w:r w:rsidR="00C02849" w:rsidRPr="003C243E">
        <w:rPr>
          <w:szCs w:val="20"/>
          <w:lang w:val="de-DE"/>
        </w:rPr>
        <w:t>ne Perspektive zu verschleiern.</w:t>
      </w:r>
    </w:p>
    <w:p w14:paraId="5AD65CE2" w14:textId="75988BFA" w:rsidR="00CF6C7C" w:rsidRPr="003C243E" w:rsidRDefault="00CF6C7C" w:rsidP="00CF6C7C">
      <w:pPr>
        <w:pStyle w:val="KnigNeu"/>
        <w:rPr>
          <w:szCs w:val="20"/>
          <w:lang w:val="de-DE"/>
        </w:rPr>
      </w:pPr>
      <w:r w:rsidRPr="003C243E">
        <w:rPr>
          <w:szCs w:val="20"/>
          <w:lang w:val="de-DE"/>
        </w:rPr>
        <w:t>Die binäre Opposition vom Selbst und dem Andere</w:t>
      </w:r>
      <w:r w:rsidR="00BC3233" w:rsidRPr="003C243E">
        <w:rPr>
          <w:szCs w:val="20"/>
          <w:lang w:val="de-DE"/>
        </w:rPr>
        <w:t>n</w:t>
      </w:r>
      <w:r w:rsidRPr="003C243E">
        <w:rPr>
          <w:szCs w:val="20"/>
          <w:lang w:val="de-DE"/>
        </w:rPr>
        <w:t xml:space="preserve">, die die Beurteilung anderer Kulturen durch den Vergleich mit der eigenen mit sich bringt, wird </w:t>
      </w:r>
      <w:r w:rsidR="0024186D" w:rsidRPr="003C243E">
        <w:rPr>
          <w:szCs w:val="20"/>
          <w:lang w:val="de-DE"/>
        </w:rPr>
        <w:t>in Şenocaks</w:t>
      </w:r>
      <w:r w:rsidR="0024186D" w:rsidRPr="003C243E" w:rsidDel="0024186D">
        <w:rPr>
          <w:szCs w:val="20"/>
          <w:lang w:val="de-DE"/>
        </w:rPr>
        <w:t xml:space="preserve"> </w:t>
      </w:r>
      <w:r w:rsidRPr="003C243E">
        <w:rPr>
          <w:szCs w:val="20"/>
          <w:lang w:val="de-DE"/>
        </w:rPr>
        <w:t xml:space="preserve"> Essay „Das Unbehagen am Kulturbegriff“ (1993) nochmals abgelehnt. Hier fordert Şenocak eine Herangehensweise ohne dialektische Gegensätzlichkeit vom Selbst und dem Anderen:</w:t>
      </w:r>
    </w:p>
    <w:p w14:paraId="6CB63E63" w14:textId="77777777" w:rsidR="00CF6C7C" w:rsidRPr="003C243E" w:rsidRDefault="00CF6C7C" w:rsidP="00FF42F4">
      <w:pPr>
        <w:pStyle w:val="KnigZitate"/>
        <w:rPr>
          <w:lang w:val="de-DE"/>
        </w:rPr>
      </w:pPr>
      <w:r w:rsidRPr="003C243E">
        <w:rPr>
          <w:lang w:val="de-DE"/>
        </w:rPr>
        <w:t xml:space="preserve">Wir sind gezwungen eine neue Sprache zu schaffen, gemeinsam mit den Anderen […]. Wir können uns nicht wie in der Wissenschaft auf Fakten und eine eingebildete Objektivität stützen. Aber auch der Begriff der Subjektivität erscheint uns </w:t>
      </w:r>
      <w:r w:rsidRPr="003C243E">
        <w:rPr>
          <w:lang w:val="de-DE"/>
        </w:rPr>
        <w:lastRenderedPageBreak/>
        <w:t>untauglich zu sein, da wir uns nicht mehr über den anderen definieren können, also unsere überlieferte Identität aufgelöst haben. Auch die dialektische Methode, mit der wir Standpunkte festlegen, ist unbrauchbar geworden, weil Gegensätze als solche nicht mehr auszumachen sind.</w:t>
      </w:r>
      <w:r w:rsidRPr="003C243E">
        <w:rPr>
          <w:rStyle w:val="FootnoteAnchor"/>
          <w:sz w:val="20"/>
          <w:szCs w:val="20"/>
          <w:lang w:val="de-DE"/>
        </w:rPr>
        <w:footnoteReference w:id="22"/>
      </w:r>
    </w:p>
    <w:p w14:paraId="26845893" w14:textId="4DACB0D1" w:rsidR="00CF6C7C" w:rsidRPr="003C243E" w:rsidRDefault="00CF6C7C" w:rsidP="00FF42F4">
      <w:pPr>
        <w:pStyle w:val="KnigNeu"/>
        <w:ind w:firstLine="0"/>
        <w:rPr>
          <w:szCs w:val="20"/>
          <w:lang w:val="de-DE"/>
        </w:rPr>
      </w:pPr>
      <w:r w:rsidRPr="003C243E">
        <w:rPr>
          <w:szCs w:val="20"/>
          <w:lang w:val="de-DE"/>
        </w:rPr>
        <w:t>Diese Kritik an der Dialektik der Identität und dieses Denken über die Subjektivität hinaus spricht nochmals für eine Beschäftigung mit Adorno, aber sie finde</w:t>
      </w:r>
      <w:r w:rsidR="00761BBB" w:rsidRPr="003C243E">
        <w:rPr>
          <w:szCs w:val="20"/>
          <w:lang w:val="de-DE"/>
        </w:rPr>
        <w:t>t</w:t>
      </w:r>
      <w:r w:rsidRPr="003C243E">
        <w:rPr>
          <w:szCs w:val="20"/>
          <w:lang w:val="de-DE"/>
        </w:rPr>
        <w:t xml:space="preserve"> auch einen Nachhall </w:t>
      </w:r>
      <w:r w:rsidR="00761BBB" w:rsidRPr="003C243E">
        <w:rPr>
          <w:szCs w:val="20"/>
          <w:lang w:val="de-DE"/>
        </w:rPr>
        <w:t>in</w:t>
      </w:r>
      <w:r w:rsidR="00C02849" w:rsidRPr="003C243E">
        <w:rPr>
          <w:szCs w:val="20"/>
          <w:lang w:val="de-DE"/>
        </w:rPr>
        <w:t xml:space="preserve"> </w:t>
      </w:r>
      <w:r w:rsidRPr="003C243E">
        <w:rPr>
          <w:szCs w:val="20"/>
          <w:lang w:val="de-DE"/>
        </w:rPr>
        <w:t xml:space="preserve">Nancys </w:t>
      </w:r>
      <w:r w:rsidR="00245F74" w:rsidRPr="003C243E">
        <w:rPr>
          <w:szCs w:val="20"/>
          <w:lang w:val="de-DE"/>
        </w:rPr>
        <w:t xml:space="preserve">Begriff </w:t>
      </w:r>
      <w:r w:rsidRPr="003C243E">
        <w:rPr>
          <w:szCs w:val="20"/>
          <w:lang w:val="de-DE"/>
        </w:rPr>
        <w:t>der Vermischung</w:t>
      </w:r>
      <w:r w:rsidRPr="003C243E">
        <w:rPr>
          <w:i/>
          <w:szCs w:val="20"/>
          <w:lang w:val="de-DE"/>
        </w:rPr>
        <w:t>.</w:t>
      </w:r>
      <w:r w:rsidRPr="003C243E">
        <w:rPr>
          <w:szCs w:val="20"/>
          <w:lang w:val="de-DE"/>
        </w:rPr>
        <w:t xml:space="preserve"> Genauso wie Nancy unser </w:t>
      </w:r>
      <w:r w:rsidR="00DF3EB7" w:rsidRPr="003C243E">
        <w:rPr>
          <w:szCs w:val="20"/>
          <w:lang w:val="de-DE"/>
        </w:rPr>
        <w:t>‚</w:t>
      </w:r>
      <w:r w:rsidRPr="003C243E">
        <w:rPr>
          <w:szCs w:val="20"/>
          <w:lang w:val="de-DE"/>
        </w:rPr>
        <w:t>Mitsein</w:t>
      </w:r>
      <w:r w:rsidR="00DF3EB7" w:rsidRPr="003C243E">
        <w:rPr>
          <w:szCs w:val="20"/>
          <w:lang w:val="de-DE"/>
        </w:rPr>
        <w:t>’</w:t>
      </w:r>
      <w:r w:rsidRPr="003C243E">
        <w:rPr>
          <w:szCs w:val="20"/>
          <w:lang w:val="de-DE"/>
        </w:rPr>
        <w:t xml:space="preserve"> in Form vom Eröffnen eines Raums der wechselseitigen Beziehungen singulärer Wesen versteht, schlägt </w:t>
      </w:r>
      <w:r w:rsidR="00245F74" w:rsidRPr="003C243E">
        <w:rPr>
          <w:szCs w:val="20"/>
          <w:lang w:val="de-DE"/>
        </w:rPr>
        <w:t xml:space="preserve">auch </w:t>
      </w:r>
      <w:r w:rsidRPr="003C243E">
        <w:rPr>
          <w:szCs w:val="20"/>
          <w:lang w:val="de-DE"/>
        </w:rPr>
        <w:t xml:space="preserve">Şenocak eine alternative Art des </w:t>
      </w:r>
      <w:r w:rsidR="00245F74" w:rsidRPr="003C243E">
        <w:rPr>
          <w:szCs w:val="20"/>
          <w:lang w:val="de-DE"/>
        </w:rPr>
        <w:t>Miteinanderseins</w:t>
      </w:r>
      <w:r w:rsidR="00DF3EB7" w:rsidRPr="003C243E">
        <w:rPr>
          <w:szCs w:val="20"/>
          <w:lang w:val="de-DE"/>
        </w:rPr>
        <w:t xml:space="preserve"> </w:t>
      </w:r>
      <w:r w:rsidRPr="003C243E">
        <w:rPr>
          <w:szCs w:val="20"/>
          <w:lang w:val="de-DE"/>
        </w:rPr>
        <w:t xml:space="preserve">vor, basierend auf Neugier, Anerkennung, Kennenlernen und dem Teilen des Raums: </w:t>
      </w:r>
    </w:p>
    <w:p w14:paraId="3E46B593" w14:textId="77777777" w:rsidR="00CF6C7C" w:rsidRPr="003C243E" w:rsidRDefault="00CF6C7C" w:rsidP="00FF42F4">
      <w:pPr>
        <w:pStyle w:val="KnigZitate"/>
        <w:rPr>
          <w:lang w:val="de-DE"/>
        </w:rPr>
      </w:pPr>
      <w:r w:rsidRPr="003C243E">
        <w:rPr>
          <w:lang w:val="de-DE"/>
        </w:rPr>
        <w:t xml:space="preserve">Wenn Sprachlose einander gegenüberstehen, sind sie auf ihre Sinne und auf ihren Körper angewiesen. Ihre Körper entwickeln ein neues, unmittelbares Verhältnis zum Raum und somit auch zueinander. </w:t>
      </w:r>
      <w:r w:rsidRPr="003C243E">
        <w:rPr>
          <w:rStyle w:val="FootnoteReference"/>
          <w:sz w:val="20"/>
          <w:szCs w:val="20"/>
          <w:lang w:val="de-DE"/>
        </w:rPr>
        <w:footnoteReference w:id="23"/>
      </w:r>
    </w:p>
    <w:p w14:paraId="211EA3EB" w14:textId="783EE60F" w:rsidR="005D451A" w:rsidRPr="003C243E" w:rsidRDefault="00CF6C7C" w:rsidP="00AE3017">
      <w:pPr>
        <w:pStyle w:val="KnigNeu"/>
        <w:ind w:firstLine="0"/>
        <w:rPr>
          <w:szCs w:val="20"/>
          <w:lang w:val="de-DE"/>
        </w:rPr>
      </w:pPr>
      <w:r w:rsidRPr="003C243E">
        <w:rPr>
          <w:szCs w:val="20"/>
          <w:lang w:val="de-DE"/>
        </w:rPr>
        <w:t xml:space="preserve">Dennoch wird diesem Standpunkt im selben Essay paradoxerweise widersprochen. Obschon Şenocak gegen die Subjektivität </w:t>
      </w:r>
      <w:r w:rsidRPr="003C243E">
        <w:rPr>
          <w:szCs w:val="20"/>
          <w:shd w:val="clear" w:color="auto" w:fill="FFFFFF"/>
          <w:lang w:val="de-DE"/>
        </w:rPr>
        <w:t>weiter argumentiert</w:t>
      </w:r>
      <w:r w:rsidRPr="003C243E">
        <w:rPr>
          <w:szCs w:val="20"/>
          <w:lang w:val="de-DE"/>
        </w:rPr>
        <w:t xml:space="preserve">, nimmt sein Essay einen universalistischen Ton im Geiste von Gadamer an, </w:t>
      </w:r>
      <w:r w:rsidR="006A7E79" w:rsidRPr="003C243E">
        <w:rPr>
          <w:szCs w:val="20"/>
          <w:lang w:val="de-DE"/>
        </w:rPr>
        <w:t>so</w:t>
      </w:r>
      <w:r w:rsidR="00C02849" w:rsidRPr="003C243E">
        <w:rPr>
          <w:szCs w:val="20"/>
          <w:lang w:val="de-DE"/>
        </w:rPr>
        <w:t xml:space="preserve"> </w:t>
      </w:r>
      <w:r w:rsidR="00245F74" w:rsidRPr="003C243E">
        <w:rPr>
          <w:szCs w:val="20"/>
          <w:lang w:val="de-DE"/>
        </w:rPr>
        <w:t xml:space="preserve">wenn </w:t>
      </w:r>
      <w:r w:rsidRPr="003C243E">
        <w:rPr>
          <w:szCs w:val="20"/>
          <w:lang w:val="de-DE"/>
        </w:rPr>
        <w:t>er die Orientierung des Selbst „am Horizont, dort wo dieser sich mit dem Horizont des Anderen verschmelzen kann“</w:t>
      </w:r>
      <w:r w:rsidR="006C3B71" w:rsidRPr="003C243E">
        <w:rPr>
          <w:szCs w:val="20"/>
          <w:lang w:val="de-DE"/>
        </w:rPr>
        <w:t>,</w:t>
      </w:r>
      <w:r w:rsidRPr="003C243E">
        <w:rPr>
          <w:rStyle w:val="FootnoteAnchor"/>
          <w:szCs w:val="20"/>
          <w:lang w:val="de-DE"/>
        </w:rPr>
        <w:footnoteReference w:id="24"/>
      </w:r>
      <w:r w:rsidRPr="003C243E">
        <w:rPr>
          <w:szCs w:val="20"/>
          <w:lang w:val="de-DE"/>
        </w:rPr>
        <w:t xml:space="preserve"> befürwortet. Diese Behauptung steht im Gegensatz zur negativen Hermeneu</w:t>
      </w:r>
      <w:r w:rsidR="005D451A" w:rsidRPr="003C243E">
        <w:rPr>
          <w:szCs w:val="20"/>
          <w:lang w:val="de-DE"/>
        </w:rPr>
        <w:t xml:space="preserve">tik des vorigen Essays, in dem </w:t>
      </w:r>
      <w:r w:rsidR="006A7E79" w:rsidRPr="003C243E">
        <w:rPr>
          <w:szCs w:val="20"/>
          <w:lang w:val="de-DE"/>
        </w:rPr>
        <w:t xml:space="preserve">Şenocak </w:t>
      </w:r>
      <w:r w:rsidRPr="003C243E">
        <w:rPr>
          <w:szCs w:val="20"/>
          <w:lang w:val="de-DE"/>
        </w:rPr>
        <w:t xml:space="preserve">das Unverständliche und auch </w:t>
      </w:r>
      <w:r w:rsidR="006A7E79" w:rsidRPr="003C243E">
        <w:rPr>
          <w:szCs w:val="20"/>
          <w:lang w:val="de-DE"/>
        </w:rPr>
        <w:t>den Gedanken von</w:t>
      </w:r>
      <w:r w:rsidR="00025095" w:rsidRPr="003C243E">
        <w:rPr>
          <w:szCs w:val="20"/>
          <w:lang w:val="de-DE"/>
        </w:rPr>
        <w:t xml:space="preserve"> </w:t>
      </w:r>
      <w:r w:rsidRPr="003C243E">
        <w:rPr>
          <w:szCs w:val="20"/>
          <w:lang w:val="de-DE"/>
        </w:rPr>
        <w:t xml:space="preserve">Identität als Vermischung in </w:t>
      </w:r>
      <w:r w:rsidR="006A7E79" w:rsidRPr="003C243E">
        <w:rPr>
          <w:szCs w:val="20"/>
          <w:lang w:val="de-DE"/>
        </w:rPr>
        <w:t xml:space="preserve">den </w:t>
      </w:r>
      <w:r w:rsidRPr="003C243E">
        <w:rPr>
          <w:szCs w:val="20"/>
          <w:lang w:val="de-DE"/>
        </w:rPr>
        <w:t xml:space="preserve">Vordergrund stellt. </w:t>
      </w:r>
      <w:r w:rsidR="005D451A" w:rsidRPr="003C243E">
        <w:rPr>
          <w:szCs w:val="20"/>
          <w:lang w:val="de-DE"/>
        </w:rPr>
        <w:t>Es zeigt sich aber,</w:t>
      </w:r>
      <w:r w:rsidR="00025095" w:rsidRPr="003C243E">
        <w:rPr>
          <w:szCs w:val="20"/>
          <w:lang w:val="de-DE"/>
        </w:rPr>
        <w:t xml:space="preserve"> </w:t>
      </w:r>
      <w:r w:rsidRPr="003C243E">
        <w:rPr>
          <w:szCs w:val="20"/>
          <w:lang w:val="de-DE"/>
        </w:rPr>
        <w:t xml:space="preserve">dass Şenocak trotz seines Schwankens zwischen diesen Positionen immer wieder die Auffassung der Kultur als stabil und geschlossen kritisiert und dass er diese Komplexität </w:t>
      </w:r>
      <w:r w:rsidR="00025095" w:rsidRPr="003C243E">
        <w:rPr>
          <w:szCs w:val="20"/>
          <w:lang w:val="de-DE"/>
        </w:rPr>
        <w:t xml:space="preserve">auch </w:t>
      </w:r>
      <w:r w:rsidRPr="003C243E">
        <w:rPr>
          <w:szCs w:val="20"/>
          <w:lang w:val="de-DE"/>
        </w:rPr>
        <w:t xml:space="preserve">in seinen Gedichten suggeriert, wie zuletzt in </w:t>
      </w:r>
      <w:r w:rsidRPr="003C243E">
        <w:rPr>
          <w:i/>
          <w:szCs w:val="20"/>
          <w:lang w:val="de-DE"/>
        </w:rPr>
        <w:t>Übergang</w:t>
      </w:r>
      <w:r w:rsidRPr="003C243E">
        <w:rPr>
          <w:szCs w:val="20"/>
          <w:lang w:val="de-DE"/>
        </w:rPr>
        <w:t>.</w:t>
      </w:r>
    </w:p>
    <w:p w14:paraId="3B7CC94B" w14:textId="65836C4B" w:rsidR="00CF6C7C" w:rsidRPr="003C243E" w:rsidRDefault="00CF6C7C" w:rsidP="005D451A">
      <w:pPr>
        <w:pStyle w:val="KnigNeu"/>
        <w:ind w:firstLine="567"/>
        <w:rPr>
          <w:szCs w:val="20"/>
          <w:lang w:val="de-DE"/>
        </w:rPr>
      </w:pPr>
      <w:r w:rsidRPr="003C243E">
        <w:rPr>
          <w:szCs w:val="20"/>
          <w:lang w:val="de-DE"/>
        </w:rPr>
        <w:t xml:space="preserve">Şenocak betont die Bedeutung der kulturellen Vielfalt </w:t>
      </w:r>
      <w:r w:rsidR="00C04055" w:rsidRPr="003C243E">
        <w:rPr>
          <w:szCs w:val="20"/>
          <w:lang w:val="de-DE"/>
        </w:rPr>
        <w:t xml:space="preserve">im Essay </w:t>
      </w:r>
      <w:r w:rsidR="00C04055" w:rsidRPr="003C243E">
        <w:rPr>
          <w:i/>
          <w:szCs w:val="20"/>
          <w:lang w:val="de-DE"/>
        </w:rPr>
        <w:t>„</w:t>
      </w:r>
      <w:r w:rsidR="00C04055" w:rsidRPr="003C243E">
        <w:rPr>
          <w:szCs w:val="20"/>
          <w:lang w:val="de-DE"/>
        </w:rPr>
        <w:t>Was hat Waldsterben mit multikultureller Gesellschaft zu tun?</w:t>
      </w:r>
      <w:r w:rsidR="00C04055" w:rsidRPr="003C243E">
        <w:rPr>
          <w:i/>
          <w:szCs w:val="20"/>
          <w:lang w:val="de-DE"/>
        </w:rPr>
        <w:t>“</w:t>
      </w:r>
      <w:r w:rsidR="00C04055" w:rsidRPr="003C243E">
        <w:rPr>
          <w:rStyle w:val="FootnoteReference"/>
          <w:szCs w:val="20"/>
          <w:lang w:val="de-DE"/>
        </w:rPr>
        <w:footnoteReference w:id="25"/>
      </w:r>
      <w:r w:rsidR="00C04055" w:rsidRPr="003C243E">
        <w:rPr>
          <w:szCs w:val="20"/>
          <w:lang w:val="de-DE"/>
        </w:rPr>
        <w:t xml:space="preserve"> (1991) </w:t>
      </w:r>
      <w:r w:rsidRPr="003C243E">
        <w:rPr>
          <w:szCs w:val="20"/>
          <w:lang w:val="de-DE"/>
        </w:rPr>
        <w:t xml:space="preserve">durch </w:t>
      </w:r>
      <w:r w:rsidR="00353AC8" w:rsidRPr="003C243E">
        <w:rPr>
          <w:szCs w:val="20"/>
          <w:lang w:val="de-DE"/>
        </w:rPr>
        <w:t xml:space="preserve">die </w:t>
      </w:r>
      <w:r w:rsidRPr="003C243E">
        <w:rPr>
          <w:szCs w:val="20"/>
          <w:lang w:val="de-DE"/>
        </w:rPr>
        <w:t>Baum-Symbolik</w:t>
      </w:r>
      <w:r w:rsidR="00326963" w:rsidRPr="003C243E">
        <w:rPr>
          <w:szCs w:val="20"/>
          <w:lang w:val="de-DE"/>
        </w:rPr>
        <w:t>.</w:t>
      </w:r>
      <w:r w:rsidRPr="003C243E">
        <w:rPr>
          <w:szCs w:val="20"/>
          <w:lang w:val="de-DE"/>
        </w:rPr>
        <w:t xml:space="preserve"> </w:t>
      </w:r>
      <w:r w:rsidR="00C04055" w:rsidRPr="003C243E">
        <w:rPr>
          <w:szCs w:val="20"/>
          <w:lang w:val="de-DE"/>
        </w:rPr>
        <w:t>S</w:t>
      </w:r>
      <w:r w:rsidRPr="003C243E">
        <w:rPr>
          <w:szCs w:val="20"/>
          <w:lang w:val="de-DE"/>
        </w:rPr>
        <w:t xml:space="preserve">tatt </w:t>
      </w:r>
      <w:r w:rsidR="00C04055" w:rsidRPr="003C243E">
        <w:rPr>
          <w:szCs w:val="20"/>
          <w:lang w:val="de-DE"/>
        </w:rPr>
        <w:t xml:space="preserve">um </w:t>
      </w:r>
      <w:r w:rsidRPr="003C243E">
        <w:rPr>
          <w:szCs w:val="20"/>
          <w:lang w:val="de-DE"/>
        </w:rPr>
        <w:t xml:space="preserve">Häuser geht es </w:t>
      </w:r>
      <w:r w:rsidR="006A7E79" w:rsidRPr="003C243E">
        <w:rPr>
          <w:szCs w:val="20"/>
          <w:lang w:val="de-DE"/>
        </w:rPr>
        <w:t xml:space="preserve">in Gedicht XXVII in </w:t>
      </w:r>
      <w:r w:rsidR="00C02849" w:rsidRPr="003C243E">
        <w:rPr>
          <w:szCs w:val="20"/>
          <w:lang w:val="de-DE"/>
        </w:rPr>
        <w:t>„</w:t>
      </w:r>
      <w:r w:rsidR="006A7E79" w:rsidRPr="003C243E">
        <w:rPr>
          <w:szCs w:val="20"/>
          <w:lang w:val="de-DE"/>
        </w:rPr>
        <w:t>Übergang</w:t>
      </w:r>
      <w:r w:rsidR="00C02849" w:rsidRPr="003C243E">
        <w:rPr>
          <w:szCs w:val="20"/>
          <w:lang w:val="de-DE"/>
        </w:rPr>
        <w:t>“</w:t>
      </w:r>
      <w:r w:rsidR="006A7E79" w:rsidRPr="003C243E">
        <w:rPr>
          <w:szCs w:val="20"/>
          <w:lang w:val="de-DE"/>
        </w:rPr>
        <w:t xml:space="preserve"> </w:t>
      </w:r>
      <w:r w:rsidRPr="003C243E">
        <w:rPr>
          <w:szCs w:val="20"/>
          <w:lang w:val="de-DE"/>
        </w:rPr>
        <w:t xml:space="preserve">um Bäume, die man als die verschiedenen kulturellen „Teilchen“, um Şenocaks Terminologie zu verwenden, sehen könnte. Obwohl </w:t>
      </w:r>
      <w:r w:rsidRPr="003C243E">
        <w:rPr>
          <w:i/>
          <w:szCs w:val="20"/>
          <w:lang w:val="de-DE"/>
        </w:rPr>
        <w:t xml:space="preserve">Übergang </w:t>
      </w:r>
      <w:r w:rsidRPr="003C243E">
        <w:rPr>
          <w:szCs w:val="20"/>
          <w:lang w:val="de-DE"/>
        </w:rPr>
        <w:t>impliziert, dass das Selbst und seine Identität un</w:t>
      </w:r>
      <w:r w:rsidR="00326963" w:rsidRPr="003C243E">
        <w:rPr>
          <w:szCs w:val="20"/>
          <w:lang w:val="de-DE"/>
        </w:rPr>
        <w:t>ab</w:t>
      </w:r>
      <w:r w:rsidRPr="003C243E">
        <w:rPr>
          <w:szCs w:val="20"/>
          <w:lang w:val="de-DE"/>
        </w:rPr>
        <w:t xml:space="preserve">schlossen bleiben, ist die Kultur immer noch eine bedeutsame kulturelle Quelle. Şenocak spricht </w:t>
      </w:r>
      <w:r w:rsidR="00353AC8" w:rsidRPr="003C243E">
        <w:rPr>
          <w:szCs w:val="20"/>
          <w:lang w:val="de-DE"/>
        </w:rPr>
        <w:t xml:space="preserve">in diesem Zusammenhang </w:t>
      </w:r>
      <w:r w:rsidRPr="003C243E">
        <w:rPr>
          <w:szCs w:val="20"/>
          <w:lang w:val="de-DE"/>
        </w:rPr>
        <w:t>in einem Interview vom Verfügen über ein</w:t>
      </w:r>
      <w:r w:rsidR="00326963" w:rsidRPr="003C243E">
        <w:rPr>
          <w:szCs w:val="20"/>
          <w:lang w:val="de-DE"/>
        </w:rPr>
        <w:t>en</w:t>
      </w:r>
      <w:r w:rsidRPr="003C243E">
        <w:rPr>
          <w:szCs w:val="20"/>
          <w:lang w:val="de-DE"/>
        </w:rPr>
        <w:t xml:space="preserve"> weite</w:t>
      </w:r>
      <w:r w:rsidR="00326963" w:rsidRPr="003C243E">
        <w:rPr>
          <w:szCs w:val="20"/>
          <w:lang w:val="de-DE"/>
        </w:rPr>
        <w:t>n</w:t>
      </w:r>
      <w:r w:rsidRPr="003C243E">
        <w:rPr>
          <w:szCs w:val="20"/>
          <w:lang w:val="de-DE"/>
        </w:rPr>
        <w:t xml:space="preserve"> </w:t>
      </w:r>
      <w:r w:rsidRPr="003C243E">
        <w:rPr>
          <w:szCs w:val="20"/>
          <w:lang w:val="de-DE"/>
        </w:rPr>
        <w:lastRenderedPageBreak/>
        <w:t>„Erinnerungshorizont“, „der uns hinter unsere Berührungsängste führen könnte“.</w:t>
      </w:r>
      <w:r w:rsidRPr="003C243E">
        <w:rPr>
          <w:rStyle w:val="FootnoteReference"/>
          <w:szCs w:val="20"/>
          <w:lang w:val="de-DE"/>
        </w:rPr>
        <w:footnoteReference w:id="26"/>
      </w:r>
      <w:r w:rsidRPr="003C243E">
        <w:rPr>
          <w:szCs w:val="20"/>
          <w:lang w:val="de-DE"/>
        </w:rPr>
        <w:t xml:space="preserve"> Bäume fehlen</w:t>
      </w:r>
      <w:r w:rsidR="00326963" w:rsidRPr="003C243E">
        <w:rPr>
          <w:szCs w:val="20"/>
          <w:lang w:val="de-DE"/>
        </w:rPr>
        <w:t xml:space="preserve"> aber</w:t>
      </w:r>
      <w:r w:rsidRPr="003C243E">
        <w:rPr>
          <w:szCs w:val="20"/>
          <w:lang w:val="de-DE"/>
        </w:rPr>
        <w:t xml:space="preserve"> in Gedicht XXVII</w:t>
      </w:r>
      <w:r w:rsidRPr="003C243E">
        <w:rPr>
          <w:rStyle w:val="FootnoteReference"/>
          <w:szCs w:val="20"/>
          <w:lang w:val="de-DE"/>
        </w:rPr>
        <w:footnoteReference w:id="27"/>
      </w:r>
      <w:r w:rsidRPr="003C243E">
        <w:rPr>
          <w:szCs w:val="20"/>
          <w:lang w:val="de-DE"/>
        </w:rPr>
        <w:t xml:space="preserve"> und dies schafft ein beunruhigendes Bild:</w:t>
      </w:r>
    </w:p>
    <w:p w14:paraId="3D4328AC" w14:textId="77777777" w:rsidR="00FF42F4" w:rsidRPr="003C243E" w:rsidRDefault="00FF42F4" w:rsidP="00CF6C7C">
      <w:pPr>
        <w:pStyle w:val="KnigNeu"/>
        <w:rPr>
          <w:szCs w:val="20"/>
          <w:lang w:val="de-DE"/>
        </w:rPr>
      </w:pPr>
    </w:p>
    <w:p w14:paraId="547C33F0" w14:textId="77777777" w:rsidR="00CF6C7C" w:rsidRPr="003C243E" w:rsidRDefault="00CF6C7C" w:rsidP="00FF42F4">
      <w:pPr>
        <w:pStyle w:val="KnigGedichte"/>
        <w:rPr>
          <w:lang w:val="de-DE"/>
        </w:rPr>
      </w:pPr>
      <w:r w:rsidRPr="003C243E">
        <w:rPr>
          <w:lang w:val="de-DE"/>
        </w:rPr>
        <w:t>einst beschrieb ich einen Baum</w:t>
      </w:r>
    </w:p>
    <w:p w14:paraId="3BE155C7" w14:textId="77777777" w:rsidR="00CF6C7C" w:rsidRPr="003C243E" w:rsidRDefault="00CF6C7C" w:rsidP="00FF42F4">
      <w:pPr>
        <w:pStyle w:val="KnigGedichte"/>
        <w:rPr>
          <w:lang w:val="de-DE"/>
        </w:rPr>
      </w:pPr>
      <w:r w:rsidRPr="003C243E">
        <w:rPr>
          <w:lang w:val="de-DE"/>
        </w:rPr>
        <w:t>der hier wurzelte</w:t>
      </w:r>
    </w:p>
    <w:p w14:paraId="4EA49A18" w14:textId="77777777" w:rsidR="00CF6C7C" w:rsidRPr="003C243E" w:rsidRDefault="00CF6C7C" w:rsidP="00FF42F4">
      <w:pPr>
        <w:pStyle w:val="KnigGedichte"/>
        <w:rPr>
          <w:lang w:val="de-DE"/>
        </w:rPr>
      </w:pPr>
      <w:r w:rsidRPr="003C243E">
        <w:rPr>
          <w:lang w:val="de-DE"/>
        </w:rPr>
        <w:t>jetzt gehe ich durch die Lande und</w:t>
      </w:r>
    </w:p>
    <w:p w14:paraId="1BB86CA7" w14:textId="77777777" w:rsidR="00CF6C7C" w:rsidRPr="003C243E" w:rsidRDefault="00CF6C7C" w:rsidP="00FF42F4">
      <w:pPr>
        <w:pStyle w:val="KnigGedichte"/>
        <w:rPr>
          <w:lang w:val="de-DE"/>
        </w:rPr>
      </w:pPr>
      <w:r w:rsidRPr="003C243E">
        <w:rPr>
          <w:lang w:val="de-DE"/>
        </w:rPr>
        <w:t>suche seinen Schatten</w:t>
      </w:r>
    </w:p>
    <w:p w14:paraId="0D2D05A8" w14:textId="77777777" w:rsidR="00CF6C7C" w:rsidRPr="003C243E" w:rsidRDefault="00CF6C7C" w:rsidP="00FF42F4">
      <w:pPr>
        <w:pStyle w:val="KnigGedichte"/>
        <w:rPr>
          <w:lang w:val="de-DE"/>
        </w:rPr>
      </w:pPr>
      <w:r w:rsidRPr="003C243E">
        <w:rPr>
          <w:lang w:val="de-DE"/>
        </w:rPr>
        <w:t>den ich eigenhändig gepflanzt hatte</w:t>
      </w:r>
    </w:p>
    <w:p w14:paraId="133EC059" w14:textId="77777777" w:rsidR="00CF6C7C" w:rsidRPr="003C243E" w:rsidRDefault="00CF6C7C" w:rsidP="00FF42F4">
      <w:pPr>
        <w:pStyle w:val="KnigGedichte"/>
        <w:rPr>
          <w:lang w:val="de-DE"/>
        </w:rPr>
      </w:pPr>
    </w:p>
    <w:p w14:paraId="6965C04A" w14:textId="77777777" w:rsidR="00CF6C7C" w:rsidRPr="003C243E" w:rsidRDefault="00CF6C7C" w:rsidP="00FF42F4">
      <w:pPr>
        <w:pStyle w:val="KnigGedichte"/>
        <w:rPr>
          <w:lang w:val="de-DE"/>
        </w:rPr>
      </w:pPr>
      <w:r w:rsidRPr="003C243E">
        <w:rPr>
          <w:lang w:val="de-DE"/>
        </w:rPr>
        <w:t>manchmal glaube ich</w:t>
      </w:r>
    </w:p>
    <w:p w14:paraId="7F8ECC4B" w14:textId="77777777" w:rsidR="00CF6C7C" w:rsidRPr="003C243E" w:rsidRDefault="00CF6C7C" w:rsidP="00FF42F4">
      <w:pPr>
        <w:pStyle w:val="KnigGedichte"/>
        <w:rPr>
          <w:lang w:val="de-DE"/>
        </w:rPr>
      </w:pPr>
      <w:r w:rsidRPr="003C243E">
        <w:rPr>
          <w:lang w:val="de-DE"/>
        </w:rPr>
        <w:t>es ist das falsche Land</w:t>
      </w:r>
    </w:p>
    <w:p w14:paraId="24404B4A" w14:textId="77777777" w:rsidR="00CF6C7C" w:rsidRPr="003C243E" w:rsidRDefault="00CF6C7C" w:rsidP="00FF42F4">
      <w:pPr>
        <w:pStyle w:val="KnigGedichte"/>
        <w:rPr>
          <w:lang w:val="de-DE"/>
        </w:rPr>
      </w:pPr>
      <w:r w:rsidRPr="003C243E">
        <w:rPr>
          <w:lang w:val="de-DE"/>
        </w:rPr>
        <w:t>das ich durchstreife</w:t>
      </w:r>
    </w:p>
    <w:p w14:paraId="51951B0A" w14:textId="77777777" w:rsidR="00CF6C7C" w:rsidRPr="003C243E" w:rsidRDefault="00CF6C7C" w:rsidP="00FF42F4">
      <w:pPr>
        <w:pStyle w:val="KnigGedichte"/>
        <w:rPr>
          <w:lang w:val="de-DE"/>
        </w:rPr>
      </w:pPr>
    </w:p>
    <w:p w14:paraId="603B4192" w14:textId="77777777" w:rsidR="00CF6C7C" w:rsidRPr="003C243E" w:rsidRDefault="00CF6C7C" w:rsidP="00FF42F4">
      <w:pPr>
        <w:pStyle w:val="KnigGedichte"/>
        <w:rPr>
          <w:lang w:val="de-DE"/>
        </w:rPr>
      </w:pPr>
      <w:r w:rsidRPr="003C243E">
        <w:rPr>
          <w:lang w:val="de-DE"/>
        </w:rPr>
        <w:t>die Menschen sind wurzellos</w:t>
      </w:r>
    </w:p>
    <w:p w14:paraId="5C4F704E" w14:textId="77777777" w:rsidR="00CF6C7C" w:rsidRPr="003C243E" w:rsidRDefault="00CF6C7C" w:rsidP="00FF42F4">
      <w:pPr>
        <w:pStyle w:val="KnigGedichte"/>
        <w:rPr>
          <w:lang w:val="de-DE"/>
        </w:rPr>
      </w:pPr>
      <w:r w:rsidRPr="003C243E">
        <w:rPr>
          <w:lang w:val="de-DE"/>
        </w:rPr>
        <w:t>und es gibt keinen Schatten</w:t>
      </w:r>
    </w:p>
    <w:p w14:paraId="6E943A3F" w14:textId="77777777" w:rsidR="00CF6C7C" w:rsidRPr="003C243E" w:rsidRDefault="00CF6C7C" w:rsidP="00FF42F4">
      <w:pPr>
        <w:pStyle w:val="KnigGedichte"/>
        <w:rPr>
          <w:lang w:val="de-DE"/>
        </w:rPr>
      </w:pPr>
      <w:r w:rsidRPr="003C243E">
        <w:rPr>
          <w:lang w:val="de-DE"/>
        </w:rPr>
        <w:t>zum Ausruhen</w:t>
      </w:r>
    </w:p>
    <w:p w14:paraId="478B81E4" w14:textId="77777777" w:rsidR="00CF6C7C" w:rsidRPr="003C243E" w:rsidRDefault="00CF6C7C" w:rsidP="00FF42F4">
      <w:pPr>
        <w:pStyle w:val="KnigGedichte"/>
        <w:rPr>
          <w:lang w:val="de-DE"/>
        </w:rPr>
      </w:pPr>
    </w:p>
    <w:p w14:paraId="4E02DD2C" w14:textId="77777777" w:rsidR="00CF6C7C" w:rsidRPr="003C243E" w:rsidRDefault="00CF6C7C" w:rsidP="00FF42F4">
      <w:pPr>
        <w:pStyle w:val="KnigGedichte"/>
        <w:rPr>
          <w:lang w:val="de-DE"/>
        </w:rPr>
      </w:pPr>
      <w:r w:rsidRPr="003C243E">
        <w:rPr>
          <w:lang w:val="de-DE"/>
        </w:rPr>
        <w:t>an den Wahrsagern der Vergangenheit</w:t>
      </w:r>
    </w:p>
    <w:p w14:paraId="5EEBB68D" w14:textId="77777777" w:rsidR="00CF6C7C" w:rsidRPr="003C243E" w:rsidRDefault="00CF6C7C" w:rsidP="00FF42F4">
      <w:pPr>
        <w:pStyle w:val="KnigGedichte"/>
        <w:rPr>
          <w:lang w:val="de-DE"/>
        </w:rPr>
      </w:pPr>
      <w:r w:rsidRPr="003C243E">
        <w:rPr>
          <w:lang w:val="de-DE"/>
        </w:rPr>
        <w:t>komme ich nicht vorbei</w:t>
      </w:r>
    </w:p>
    <w:p w14:paraId="13C729B3" w14:textId="77777777" w:rsidR="00CF6C7C" w:rsidRPr="003C243E" w:rsidRDefault="00CF6C7C" w:rsidP="00FF42F4">
      <w:pPr>
        <w:pStyle w:val="KnigGedichte"/>
        <w:rPr>
          <w:lang w:val="de-DE"/>
        </w:rPr>
      </w:pPr>
      <w:r w:rsidRPr="003C243E">
        <w:rPr>
          <w:lang w:val="de-DE"/>
        </w:rPr>
        <w:t>sie fragen mich aus</w:t>
      </w:r>
    </w:p>
    <w:p w14:paraId="5A976FC6" w14:textId="77777777" w:rsidR="00CF6C7C" w:rsidRPr="003C243E" w:rsidRDefault="00CF6C7C" w:rsidP="00FF42F4">
      <w:pPr>
        <w:pStyle w:val="KnigGedichte"/>
        <w:rPr>
          <w:lang w:val="de-DE"/>
        </w:rPr>
      </w:pPr>
      <w:r w:rsidRPr="003C243E">
        <w:rPr>
          <w:lang w:val="de-DE"/>
        </w:rPr>
        <w:t>und vermuten</w:t>
      </w:r>
    </w:p>
    <w:p w14:paraId="7EA7DE29" w14:textId="77777777" w:rsidR="00CF6C7C" w:rsidRPr="003C243E" w:rsidRDefault="00CF6C7C" w:rsidP="00FF42F4">
      <w:pPr>
        <w:pStyle w:val="KnigGedichte"/>
        <w:rPr>
          <w:lang w:val="de-DE"/>
        </w:rPr>
      </w:pPr>
    </w:p>
    <w:p w14:paraId="0902C5EE" w14:textId="77777777" w:rsidR="00CF6C7C" w:rsidRPr="003C243E" w:rsidRDefault="00CF6C7C" w:rsidP="00FF42F4">
      <w:pPr>
        <w:pStyle w:val="KnigGedichte"/>
        <w:rPr>
          <w:lang w:val="de-DE"/>
        </w:rPr>
      </w:pPr>
      <w:r w:rsidRPr="003C243E">
        <w:rPr>
          <w:lang w:val="de-DE"/>
        </w:rPr>
        <w:t>ich wäre gesteinigt worden</w:t>
      </w:r>
    </w:p>
    <w:p w14:paraId="4A6FF8D4" w14:textId="77777777" w:rsidR="00CF6C7C" w:rsidRPr="003C243E" w:rsidRDefault="00CF6C7C" w:rsidP="00FF42F4">
      <w:pPr>
        <w:pStyle w:val="KnigGedichte"/>
        <w:rPr>
          <w:lang w:val="de-DE"/>
        </w:rPr>
      </w:pPr>
      <w:r w:rsidRPr="003C243E">
        <w:rPr>
          <w:lang w:val="de-DE"/>
        </w:rPr>
        <w:t>am Wegrand</w:t>
      </w:r>
    </w:p>
    <w:p w14:paraId="44A9ADCA" w14:textId="77777777" w:rsidR="00CF6C7C" w:rsidRPr="003C243E" w:rsidRDefault="00CF6C7C" w:rsidP="00FF42F4">
      <w:pPr>
        <w:pStyle w:val="KnigGedichte"/>
        <w:rPr>
          <w:lang w:val="de-DE"/>
        </w:rPr>
      </w:pPr>
      <w:r w:rsidRPr="003C243E">
        <w:rPr>
          <w:lang w:val="de-DE"/>
        </w:rPr>
        <w:t>hätte ich gelebt</w:t>
      </w:r>
    </w:p>
    <w:p w14:paraId="3C7CF0E1" w14:textId="77777777" w:rsidR="00CF6C7C" w:rsidRPr="003C243E" w:rsidRDefault="00CF6C7C" w:rsidP="00FF42F4">
      <w:pPr>
        <w:pStyle w:val="KnigGedichte"/>
        <w:rPr>
          <w:lang w:val="de-DE"/>
        </w:rPr>
      </w:pPr>
      <w:r w:rsidRPr="003C243E">
        <w:rPr>
          <w:lang w:val="de-DE"/>
        </w:rPr>
        <w:t>zu anderer Zeit</w:t>
      </w:r>
    </w:p>
    <w:p w14:paraId="2031C10E" w14:textId="77777777" w:rsidR="00FF42F4" w:rsidRPr="003C243E" w:rsidRDefault="00FF42F4" w:rsidP="00CF6C7C">
      <w:pPr>
        <w:pStyle w:val="KnigNeu"/>
        <w:rPr>
          <w:szCs w:val="20"/>
          <w:lang w:val="de-DE"/>
        </w:rPr>
      </w:pPr>
    </w:p>
    <w:p w14:paraId="2FC7FD58" w14:textId="1755D7F8" w:rsidR="00CF6C7C" w:rsidRPr="003C243E" w:rsidRDefault="00CF6C7C" w:rsidP="00FF42F4">
      <w:pPr>
        <w:pStyle w:val="KnigNeu"/>
        <w:ind w:firstLine="0"/>
        <w:rPr>
          <w:szCs w:val="20"/>
          <w:lang w:val="de-DE"/>
        </w:rPr>
      </w:pPr>
      <w:r w:rsidRPr="003C243E">
        <w:rPr>
          <w:szCs w:val="20"/>
          <w:lang w:val="de-DE"/>
        </w:rPr>
        <w:t>Das lyrische Ich erkennt hier das Land nicht mehr, in dem es sich findet, möglicherweise weil es umgezogen ist oder weil das Land sich verändert hat. Dies scheint aber keine organische Veränderung zu sein, denn die Menschen suchen nach einem schattenspendenden Baum bzw. einem Aspekt der Kultur</w:t>
      </w:r>
      <w:r w:rsidR="00326963" w:rsidRPr="003C243E">
        <w:rPr>
          <w:szCs w:val="20"/>
          <w:lang w:val="de-DE"/>
        </w:rPr>
        <w:t>, der eliminiert worden ist</w:t>
      </w:r>
      <w:r w:rsidRPr="003C243E">
        <w:rPr>
          <w:szCs w:val="20"/>
          <w:lang w:val="de-DE"/>
        </w:rPr>
        <w:t xml:space="preserve">. </w:t>
      </w:r>
    </w:p>
    <w:p w14:paraId="3C477212" w14:textId="7B110CC6" w:rsidR="00CF6C7C" w:rsidRPr="003C243E" w:rsidRDefault="005D451A" w:rsidP="003A1C57">
      <w:pPr>
        <w:pStyle w:val="KnigNeu"/>
        <w:rPr>
          <w:szCs w:val="20"/>
          <w:lang w:val="de-DE"/>
        </w:rPr>
      </w:pPr>
      <w:r w:rsidRPr="003C243E">
        <w:rPr>
          <w:szCs w:val="20"/>
          <w:lang w:val="de-DE"/>
        </w:rPr>
        <w:t xml:space="preserve">In seinen Essays spricht Şenocak von den Brüchen in der deutschen Nachkriegsgesellschaft, herbeigeführt von </w:t>
      </w:r>
      <w:r w:rsidR="0037559D" w:rsidRPr="003C243E">
        <w:rPr>
          <w:szCs w:val="20"/>
          <w:lang w:val="de-DE"/>
        </w:rPr>
        <w:t>der Verweigerung</w:t>
      </w:r>
      <w:r w:rsidRPr="003C243E">
        <w:rPr>
          <w:szCs w:val="20"/>
          <w:lang w:val="de-DE"/>
        </w:rPr>
        <w:t xml:space="preserve"> der Vorkriegskultur,</w:t>
      </w:r>
      <w:r w:rsidR="0037559D" w:rsidRPr="003C243E">
        <w:rPr>
          <w:rStyle w:val="FootnoteAnchor"/>
          <w:szCs w:val="20"/>
          <w:lang w:val="de-DE"/>
        </w:rPr>
        <w:footnoteReference w:id="28"/>
      </w:r>
      <w:r w:rsidRPr="003C243E">
        <w:rPr>
          <w:szCs w:val="20"/>
          <w:lang w:val="de-DE"/>
        </w:rPr>
        <w:t xml:space="preserve"> </w:t>
      </w:r>
      <w:r w:rsidR="00346BAA">
        <w:rPr>
          <w:szCs w:val="20"/>
          <w:lang w:val="de-DE"/>
        </w:rPr>
        <w:t>und auch</w:t>
      </w:r>
      <w:r w:rsidRPr="003C243E">
        <w:rPr>
          <w:szCs w:val="20"/>
          <w:lang w:val="de-DE"/>
        </w:rPr>
        <w:t xml:space="preserve"> in der post-kemalistischen Gesellschaft der Türkei</w:t>
      </w:r>
      <w:r w:rsidR="0037559D" w:rsidRPr="003C243E">
        <w:rPr>
          <w:szCs w:val="20"/>
          <w:lang w:val="de-DE"/>
        </w:rPr>
        <w:t xml:space="preserve">. </w:t>
      </w:r>
      <w:r w:rsidR="00CF6C7C" w:rsidRPr="003C243E">
        <w:rPr>
          <w:szCs w:val="20"/>
          <w:lang w:val="de-DE"/>
        </w:rPr>
        <w:t>.</w:t>
      </w:r>
    </w:p>
    <w:p w14:paraId="616106AC" w14:textId="56F55433" w:rsidR="00CF6C7C" w:rsidRPr="003C243E" w:rsidRDefault="0037559D" w:rsidP="007916D6">
      <w:pPr>
        <w:pStyle w:val="KnigNeu"/>
        <w:ind w:firstLine="0"/>
        <w:rPr>
          <w:szCs w:val="20"/>
          <w:lang w:val="de-DE"/>
        </w:rPr>
      </w:pPr>
      <w:r w:rsidRPr="003C243E">
        <w:rPr>
          <w:szCs w:val="20"/>
          <w:lang w:val="de-DE"/>
        </w:rPr>
        <w:t>E</w:t>
      </w:r>
      <w:r w:rsidR="00326963" w:rsidRPr="003C243E">
        <w:rPr>
          <w:szCs w:val="20"/>
          <w:lang w:val="de-DE"/>
        </w:rPr>
        <w:t xml:space="preserve">r beklagt </w:t>
      </w:r>
      <w:r w:rsidR="00CF6C7C" w:rsidRPr="003C243E">
        <w:rPr>
          <w:szCs w:val="20"/>
          <w:lang w:val="de-DE"/>
        </w:rPr>
        <w:t xml:space="preserve">die republikanische Verweigerung des sufistischen Erbes </w:t>
      </w:r>
      <w:r w:rsidR="00326963" w:rsidRPr="003C243E">
        <w:rPr>
          <w:szCs w:val="20"/>
          <w:lang w:val="de-DE"/>
        </w:rPr>
        <w:t xml:space="preserve">in </w:t>
      </w:r>
      <w:r w:rsidR="00CF6C7C" w:rsidRPr="003C243E">
        <w:rPr>
          <w:szCs w:val="20"/>
          <w:lang w:val="de-DE"/>
        </w:rPr>
        <w:t>der Türkei, in dem er eine schöpferische Kraft erkennt:</w:t>
      </w:r>
    </w:p>
    <w:p w14:paraId="6249EE9E" w14:textId="77777777" w:rsidR="00CF6C7C" w:rsidRPr="003C243E" w:rsidRDefault="00CF6C7C" w:rsidP="00FF42F4">
      <w:pPr>
        <w:pStyle w:val="KnigZitate"/>
        <w:rPr>
          <w:lang w:val="de-DE"/>
        </w:rPr>
      </w:pPr>
      <w:r w:rsidRPr="003C243E">
        <w:rPr>
          <w:lang w:val="de-DE"/>
        </w:rPr>
        <w:t xml:space="preserve">Erst die Wiederentdeckung des muslimischen kulturellen Erbes in all seinen frommen und häretischen Strömungen, seinen </w:t>
      </w:r>
      <w:r w:rsidRPr="003C243E">
        <w:rPr>
          <w:lang w:val="de-DE"/>
        </w:rPr>
        <w:lastRenderedPageBreak/>
        <w:t>rationalen und irrationalen, seinen skeptischen und euphorischen Geisteswelten kann eine wirkliche Renaissance der islamischen Kultur einleiten.</w:t>
      </w:r>
      <w:r w:rsidRPr="003C243E">
        <w:rPr>
          <w:rStyle w:val="FootnoteReference"/>
          <w:sz w:val="20"/>
          <w:szCs w:val="20"/>
          <w:lang w:val="de-DE"/>
        </w:rPr>
        <w:footnoteReference w:id="29"/>
      </w:r>
    </w:p>
    <w:p w14:paraId="040F06C7" w14:textId="77777777" w:rsidR="00B55C9F" w:rsidRPr="003C243E" w:rsidRDefault="00CF6C7C" w:rsidP="00B55C9F">
      <w:pPr>
        <w:pStyle w:val="KnigNeu"/>
        <w:ind w:firstLine="0"/>
        <w:rPr>
          <w:szCs w:val="20"/>
          <w:lang w:val="de-DE"/>
        </w:rPr>
      </w:pPr>
      <w:r w:rsidRPr="003C243E">
        <w:rPr>
          <w:szCs w:val="20"/>
          <w:lang w:val="de-DE"/>
        </w:rPr>
        <w:t xml:space="preserve">Wenn man die „Wahrsager der Vergangenheit“ als Kemalisten versteht, nehmen diese Strophen einen ironischen Ton an, da ihre Bemerkungen sich als überheblich und </w:t>
      </w:r>
      <w:r w:rsidR="00326963" w:rsidRPr="003C243E">
        <w:rPr>
          <w:szCs w:val="20"/>
          <w:lang w:val="de-DE"/>
        </w:rPr>
        <w:t xml:space="preserve">als </w:t>
      </w:r>
      <w:r w:rsidRPr="003C243E">
        <w:rPr>
          <w:szCs w:val="20"/>
          <w:lang w:val="de-DE"/>
        </w:rPr>
        <w:t>falsch entpuppen. In der Tat ignoriert die Vermutung, dass das lyrische Ich in der Vergangenheit gesteinigt w</w:t>
      </w:r>
      <w:r w:rsidR="00C07CF2" w:rsidRPr="003C243E">
        <w:rPr>
          <w:szCs w:val="20"/>
          <w:lang w:val="de-DE"/>
        </w:rPr>
        <w:t>orden wäre</w:t>
      </w:r>
      <w:r w:rsidRPr="003C243E">
        <w:rPr>
          <w:szCs w:val="20"/>
          <w:lang w:val="de-DE"/>
        </w:rPr>
        <w:t>, die ehemalige Toleranz der Ambiguität und der Heterodoxie durch den mystischen Islam in Anatolien – die kreative Leistungsfähigkeit, die, wie vorher erwähnt, Atatürk und seine Anhänge</w:t>
      </w:r>
      <w:r w:rsidR="00630951" w:rsidRPr="003C243E">
        <w:rPr>
          <w:szCs w:val="20"/>
          <w:lang w:val="de-DE"/>
        </w:rPr>
        <w:t>r</w:t>
      </w:r>
      <w:r w:rsidRPr="003C243E">
        <w:rPr>
          <w:szCs w:val="20"/>
          <w:lang w:val="de-DE"/>
        </w:rPr>
        <w:t xml:space="preserve"> beseitigten, weil sie, wie die heutigen Medien im Westen, den Islam lediglich als eine </w:t>
      </w:r>
      <w:r w:rsidR="00326963" w:rsidRPr="003C243E">
        <w:rPr>
          <w:szCs w:val="20"/>
          <w:lang w:val="de-DE"/>
        </w:rPr>
        <w:t>rückständige</w:t>
      </w:r>
      <w:r w:rsidR="003A1C57" w:rsidRPr="003C243E">
        <w:rPr>
          <w:szCs w:val="20"/>
          <w:lang w:val="de-DE"/>
        </w:rPr>
        <w:t xml:space="preserve"> </w:t>
      </w:r>
      <w:r w:rsidRPr="003C243E">
        <w:rPr>
          <w:szCs w:val="20"/>
          <w:lang w:val="de-DE"/>
        </w:rPr>
        <w:t>Kraft betrachteten.</w:t>
      </w:r>
      <w:r w:rsidRPr="003C243E">
        <w:rPr>
          <w:color w:val="5B9BD5" w:themeColor="accent1"/>
          <w:szCs w:val="20"/>
          <w:lang w:val="de-DE"/>
        </w:rPr>
        <w:t xml:space="preserve"> </w:t>
      </w:r>
      <w:r w:rsidRPr="003C243E">
        <w:rPr>
          <w:szCs w:val="20"/>
          <w:lang w:val="de-DE"/>
        </w:rPr>
        <w:t>Nichtsdestoweniger lässt sich d</w:t>
      </w:r>
      <w:r w:rsidR="00C07CF2" w:rsidRPr="003C243E">
        <w:rPr>
          <w:szCs w:val="20"/>
          <w:lang w:val="de-DE"/>
        </w:rPr>
        <w:t>as</w:t>
      </w:r>
      <w:r w:rsidRPr="003C243E">
        <w:rPr>
          <w:szCs w:val="20"/>
          <w:lang w:val="de-DE"/>
        </w:rPr>
        <w:t xml:space="preserve"> Bild der </w:t>
      </w:r>
      <w:r w:rsidR="00C07CF2" w:rsidRPr="003C243E">
        <w:rPr>
          <w:szCs w:val="20"/>
          <w:lang w:val="de-DE"/>
        </w:rPr>
        <w:t>V</w:t>
      </w:r>
      <w:r w:rsidRPr="003C243E">
        <w:rPr>
          <w:szCs w:val="20"/>
          <w:lang w:val="de-DE"/>
        </w:rPr>
        <w:t>erfolgung auch umgekehrt als Ketzerei gegen den kemalistischen Säkularismus auslegen, wodurch Şenocak einen Vergleich zwischen der ideologische Natur des orthodoxen Islam sowie des Kemalismus zieht.</w:t>
      </w:r>
    </w:p>
    <w:p w14:paraId="259F3D9E" w14:textId="3C5898CA" w:rsidR="003C243E" w:rsidRDefault="00346BAA" w:rsidP="00597984">
      <w:pPr>
        <w:pStyle w:val="KnigNeu"/>
        <w:rPr>
          <w:szCs w:val="20"/>
          <w:lang w:val="de-DE"/>
        </w:rPr>
      </w:pPr>
      <w:r w:rsidRPr="003C243E">
        <w:rPr>
          <w:szCs w:val="20"/>
          <w:lang w:val="de-DE"/>
        </w:rPr>
        <w:t>Genauso wie er einen kreativen Auseinandersetzung mit der vor-kemalistischen Kultur bevorzugt, hält Şenocak auch eine weite und heterogene Vorstellung der deutschen Kultur als wichtig. Beide Seiten kommen im poetischen Essay „Gespräch über Bäume“ (2006) zusammen, in dem eine Person will einen vermutlich kranken Baum fällen, aber eine Andere sitzt im Baum, um Gott näher zu sein.</w:t>
      </w:r>
      <w:r w:rsidRPr="003C243E">
        <w:rPr>
          <w:rStyle w:val="FootnoteReference"/>
          <w:szCs w:val="20"/>
          <w:lang w:val="de-DE"/>
        </w:rPr>
        <w:footnoteReference w:id="30"/>
      </w:r>
      <w:r>
        <w:rPr>
          <w:szCs w:val="20"/>
          <w:lang w:val="de-DE"/>
        </w:rPr>
        <w:t xml:space="preserve"> D</w:t>
      </w:r>
      <w:r w:rsidRPr="003C243E">
        <w:rPr>
          <w:szCs w:val="20"/>
          <w:lang w:val="de-DE"/>
        </w:rPr>
        <w:t xml:space="preserve">ie Baum-Symbolik </w:t>
      </w:r>
      <w:r>
        <w:rPr>
          <w:szCs w:val="20"/>
          <w:lang w:val="de-DE"/>
        </w:rPr>
        <w:t xml:space="preserve">in </w:t>
      </w:r>
      <w:r w:rsidRPr="00346BAA">
        <w:rPr>
          <w:i/>
          <w:szCs w:val="20"/>
          <w:lang w:val="de-DE"/>
        </w:rPr>
        <w:t>Übergang</w:t>
      </w:r>
      <w:r>
        <w:rPr>
          <w:szCs w:val="20"/>
          <w:lang w:val="de-DE"/>
        </w:rPr>
        <w:t xml:space="preserve"> </w:t>
      </w:r>
      <w:r w:rsidRPr="003C243E">
        <w:rPr>
          <w:szCs w:val="20"/>
          <w:lang w:val="de-DE"/>
        </w:rPr>
        <w:t xml:space="preserve">lässt sich auch mit Bertolt Brechts „An die Nachgeborenen“ in Verbindung ziehen, in dem </w:t>
      </w:r>
      <w:r w:rsidRPr="003C243E">
        <w:rPr>
          <w:i/>
          <w:szCs w:val="20"/>
          <w:lang w:val="de-DE"/>
        </w:rPr>
        <w:t>l’art pour l’artes</w:t>
      </w:r>
      <w:r w:rsidRPr="003C243E">
        <w:rPr>
          <w:szCs w:val="20"/>
          <w:lang w:val="de-DE"/>
        </w:rPr>
        <w:t xml:space="preserve"> kritisiert wird, denn es heißt: ‚Ein Gespräch über Bäume fast ein Verbrechen ist. / Weil es ein Schweigen über so viele Untaten einschließt!‘</w:t>
      </w:r>
      <w:r w:rsidRPr="003C243E">
        <w:rPr>
          <w:rStyle w:val="FootnoteReference"/>
          <w:szCs w:val="20"/>
          <w:lang w:val="de-DE"/>
        </w:rPr>
        <w:footnoteReference w:id="31"/>
      </w:r>
      <w:r w:rsidRPr="003C243E">
        <w:rPr>
          <w:szCs w:val="20"/>
          <w:lang w:val="de-DE"/>
        </w:rPr>
        <w:t xml:space="preserve"> </w:t>
      </w:r>
      <w:r w:rsidR="00B55C9F" w:rsidRPr="003C243E">
        <w:rPr>
          <w:szCs w:val="20"/>
          <w:lang w:val="de-DE"/>
        </w:rPr>
        <w:t>Şenocak diskutiert die Brüchigkeit der deutschen Identität in anderer Hinsicht im Essay „Gebrochen Deutsch: Die Sondersprache der Deutschen“</w:t>
      </w:r>
      <w:r w:rsidR="00B55C9F" w:rsidRPr="003C243E">
        <w:rPr>
          <w:rStyle w:val="FootnoteAnchor"/>
          <w:szCs w:val="20"/>
          <w:lang w:val="de-DE"/>
        </w:rPr>
        <w:footnoteReference w:id="32"/>
      </w:r>
      <w:r w:rsidR="00B55C9F" w:rsidRPr="003C243E">
        <w:rPr>
          <w:szCs w:val="20"/>
          <w:lang w:val="de-DE"/>
        </w:rPr>
        <w:t xml:space="preserve"> und er beteuert, dass es mehr „Berührungspunkte“ mit der islamischen Kultur zu entdecken gäbe, wenn der Facettenreichtum der deutschen Kultur den Deutschen zugänglicher wäre, wie z. B. der Einfluss des Korans und des Sufismus auf Rilke und Goethe.</w:t>
      </w:r>
      <w:r w:rsidR="00B55C9F" w:rsidRPr="003C243E">
        <w:rPr>
          <w:rStyle w:val="FootnoteAnchor"/>
          <w:szCs w:val="20"/>
          <w:lang w:val="de-DE"/>
        </w:rPr>
        <w:footnoteReference w:id="33"/>
      </w:r>
      <w:r w:rsidR="00B55C9F" w:rsidRPr="003C243E">
        <w:rPr>
          <w:szCs w:val="20"/>
          <w:lang w:val="de-DE"/>
        </w:rPr>
        <w:t xml:space="preserve">  </w:t>
      </w:r>
    </w:p>
    <w:p w14:paraId="6AB3229C" w14:textId="543C3A8E" w:rsidR="00CF6C7C" w:rsidRPr="003C243E" w:rsidRDefault="00CF6C7C" w:rsidP="00597984">
      <w:pPr>
        <w:pStyle w:val="KnigNeu"/>
        <w:rPr>
          <w:szCs w:val="20"/>
          <w:lang w:val="de-DE"/>
        </w:rPr>
      </w:pPr>
      <w:r w:rsidRPr="003C243E">
        <w:rPr>
          <w:szCs w:val="20"/>
          <w:lang w:val="de-DE"/>
        </w:rPr>
        <w:t>Şenocak gesteht allerdings die Anziehung der Stabilität im Essay „Die atonale Welt“</w:t>
      </w:r>
      <w:r w:rsidR="00326963" w:rsidRPr="003C243E">
        <w:rPr>
          <w:szCs w:val="20"/>
          <w:lang w:val="de-DE"/>
        </w:rPr>
        <w:t xml:space="preserve"> ein</w:t>
      </w:r>
      <w:r w:rsidRPr="003C243E">
        <w:rPr>
          <w:szCs w:val="20"/>
          <w:lang w:val="de-DE"/>
        </w:rPr>
        <w:t xml:space="preserve">: </w:t>
      </w:r>
    </w:p>
    <w:p w14:paraId="7543BD7E" w14:textId="77777777" w:rsidR="00CF6C7C" w:rsidRPr="003C243E" w:rsidRDefault="00CF6C7C" w:rsidP="00FF42F4">
      <w:pPr>
        <w:pStyle w:val="KnigZitate"/>
        <w:rPr>
          <w:lang w:val="de-DE"/>
        </w:rPr>
      </w:pPr>
      <w:r w:rsidRPr="003C243E">
        <w:rPr>
          <w:lang w:val="de-DE"/>
        </w:rPr>
        <w:lastRenderedPageBreak/>
        <w:t>Fundamente bieten das Gefühl der Kontinuität und die Sicherheit der Wiedererkennung [...]. Dem gleichen Prinzip folgt der Hausbau. Ein Stück Erde wird zum Eigenen. Die eigenen vier Wände markieren Grenzen nach außen, verleihen Intimität und verschaffen Zugehörigkeit nach innen.</w:t>
      </w:r>
      <w:r w:rsidRPr="003C243E">
        <w:rPr>
          <w:rStyle w:val="FootnoteAnchor"/>
          <w:sz w:val="20"/>
          <w:szCs w:val="20"/>
          <w:lang w:val="de-DE"/>
        </w:rPr>
        <w:footnoteReference w:id="34"/>
      </w:r>
    </w:p>
    <w:p w14:paraId="42C99085" w14:textId="2DEA4B76" w:rsidR="00CF6C7C" w:rsidRPr="003C243E" w:rsidRDefault="00CF6C7C" w:rsidP="00FF42F4">
      <w:pPr>
        <w:pStyle w:val="KnigNeu"/>
        <w:ind w:firstLine="0"/>
        <w:rPr>
          <w:szCs w:val="20"/>
          <w:lang w:val="de-DE"/>
        </w:rPr>
      </w:pPr>
      <w:r w:rsidRPr="003C243E">
        <w:rPr>
          <w:szCs w:val="20"/>
          <w:lang w:val="de-DE"/>
        </w:rPr>
        <w:t xml:space="preserve">Jedoch kritisiert er dieses Bedürfnis im </w:t>
      </w:r>
      <w:r w:rsidR="00326963" w:rsidRPr="003C243E">
        <w:rPr>
          <w:szCs w:val="20"/>
          <w:lang w:val="de-DE"/>
        </w:rPr>
        <w:t>selben</w:t>
      </w:r>
      <w:r w:rsidR="003A1C57" w:rsidRPr="003C243E">
        <w:rPr>
          <w:szCs w:val="20"/>
          <w:lang w:val="de-DE"/>
        </w:rPr>
        <w:t xml:space="preserve"> </w:t>
      </w:r>
      <w:r w:rsidRPr="003C243E">
        <w:rPr>
          <w:szCs w:val="20"/>
          <w:lang w:val="de-DE"/>
        </w:rPr>
        <w:t xml:space="preserve">Essay </w:t>
      </w:r>
      <w:r w:rsidR="00326963" w:rsidRPr="003C243E">
        <w:rPr>
          <w:szCs w:val="20"/>
          <w:lang w:val="de-DE"/>
        </w:rPr>
        <w:t xml:space="preserve">zugleich </w:t>
      </w:r>
      <w:r w:rsidRPr="003C243E">
        <w:rPr>
          <w:szCs w:val="20"/>
          <w:lang w:val="de-DE"/>
        </w:rPr>
        <w:t xml:space="preserve">aufgrund seiner </w:t>
      </w:r>
      <w:r w:rsidR="006C3B71" w:rsidRPr="003C243E">
        <w:rPr>
          <w:szCs w:val="20"/>
          <w:lang w:val="de-DE"/>
        </w:rPr>
        <w:t>Affinität</w:t>
      </w:r>
      <w:r w:rsidR="00326963" w:rsidRPr="003C243E">
        <w:rPr>
          <w:szCs w:val="20"/>
          <w:lang w:val="de-DE"/>
        </w:rPr>
        <w:t xml:space="preserve"> zu Nationalismus</w:t>
      </w:r>
      <w:r w:rsidR="003A1C57" w:rsidRPr="003C243E">
        <w:rPr>
          <w:szCs w:val="20"/>
          <w:lang w:val="de-DE"/>
        </w:rPr>
        <w:t xml:space="preserve"> </w:t>
      </w:r>
      <w:r w:rsidRPr="003C243E">
        <w:rPr>
          <w:szCs w:val="20"/>
          <w:lang w:val="de-DE"/>
        </w:rPr>
        <w:t xml:space="preserve">und Kapitalismus. Identität </w:t>
      </w:r>
      <w:r w:rsidR="00326963" w:rsidRPr="003C243E">
        <w:rPr>
          <w:szCs w:val="20"/>
          <w:lang w:val="de-DE"/>
        </w:rPr>
        <w:t xml:space="preserve">ist </w:t>
      </w:r>
      <w:r w:rsidRPr="003C243E">
        <w:rPr>
          <w:szCs w:val="20"/>
          <w:lang w:val="de-DE"/>
        </w:rPr>
        <w:t xml:space="preserve">in </w:t>
      </w:r>
      <w:r w:rsidRPr="003C243E">
        <w:rPr>
          <w:i/>
          <w:szCs w:val="20"/>
          <w:lang w:val="de-DE"/>
        </w:rPr>
        <w:t xml:space="preserve">Übergang </w:t>
      </w:r>
      <w:r w:rsidRPr="003C243E">
        <w:rPr>
          <w:szCs w:val="20"/>
          <w:lang w:val="de-DE"/>
        </w:rPr>
        <w:t xml:space="preserve">alles andere als stabil; wie Nelson behauptet, ist </w:t>
      </w:r>
      <w:r w:rsidRPr="003C243E">
        <w:rPr>
          <w:i/>
          <w:szCs w:val="20"/>
          <w:lang w:val="de-DE"/>
        </w:rPr>
        <w:t>Übergang</w:t>
      </w:r>
      <w:r w:rsidRPr="003C243E">
        <w:rPr>
          <w:szCs w:val="20"/>
          <w:lang w:val="de-DE"/>
        </w:rPr>
        <w:t xml:space="preserve"> voller geschichteter und </w:t>
      </w:r>
      <w:r w:rsidR="00DA7D90" w:rsidRPr="003C243E">
        <w:rPr>
          <w:szCs w:val="20"/>
          <w:lang w:val="de-DE"/>
        </w:rPr>
        <w:t xml:space="preserve">mehrdeutiger </w:t>
      </w:r>
      <w:r w:rsidRPr="003C243E">
        <w:rPr>
          <w:szCs w:val="20"/>
          <w:lang w:val="de-DE"/>
        </w:rPr>
        <w:t xml:space="preserve">Symbolik, die auf wohlbekannte </w:t>
      </w:r>
      <w:r w:rsidR="00DA7D90" w:rsidRPr="003C243E">
        <w:rPr>
          <w:szCs w:val="20"/>
          <w:lang w:val="de-DE"/>
        </w:rPr>
        <w:t xml:space="preserve">oder </w:t>
      </w:r>
      <w:r w:rsidRPr="003C243E">
        <w:rPr>
          <w:szCs w:val="20"/>
          <w:lang w:val="de-DE"/>
        </w:rPr>
        <w:t>auch wenig</w:t>
      </w:r>
      <w:r w:rsidR="00DA7D90" w:rsidRPr="003C243E">
        <w:rPr>
          <w:szCs w:val="20"/>
          <w:lang w:val="de-DE"/>
        </w:rPr>
        <w:t>er</w:t>
      </w:r>
      <w:r w:rsidRPr="003C243E">
        <w:rPr>
          <w:szCs w:val="20"/>
          <w:lang w:val="de-DE"/>
        </w:rPr>
        <w:t xml:space="preserve"> bekannte deutsche, türkische und internationale </w:t>
      </w:r>
      <w:r w:rsidR="00DA7D90" w:rsidRPr="003C243E">
        <w:rPr>
          <w:szCs w:val="20"/>
          <w:lang w:val="de-DE"/>
        </w:rPr>
        <w:t xml:space="preserve">Verhältnisse </w:t>
      </w:r>
      <w:r w:rsidRPr="003C243E">
        <w:rPr>
          <w:szCs w:val="20"/>
          <w:lang w:val="de-DE"/>
        </w:rPr>
        <w:t>zurückverweist.</w:t>
      </w:r>
      <w:r w:rsidRPr="003C243E">
        <w:rPr>
          <w:rStyle w:val="FootnoteAnchor"/>
          <w:szCs w:val="20"/>
          <w:lang w:val="de-DE"/>
        </w:rPr>
        <w:footnoteReference w:id="35"/>
      </w:r>
      <w:r w:rsidRPr="003C243E">
        <w:rPr>
          <w:szCs w:val="20"/>
          <w:lang w:val="de-DE"/>
        </w:rPr>
        <w:t xml:space="preserve"> Şenocak schneidet deshalb nicht nur den Sachverhalt der kulturellen Amnesie hier an, sondern führt das kreative Potential eines breiten Erinnerungshorizonts vor. Adelson argumentiert:</w:t>
      </w:r>
    </w:p>
    <w:p w14:paraId="49BA20FF" w14:textId="77777777" w:rsidR="00CF6C7C" w:rsidRPr="003C243E" w:rsidRDefault="00CF6C7C" w:rsidP="00FF42F4">
      <w:pPr>
        <w:pStyle w:val="KnigZitate"/>
        <w:rPr>
          <w:lang w:val="de-DE"/>
        </w:rPr>
      </w:pPr>
      <w:r w:rsidRPr="003C243E">
        <w:rPr>
          <w:lang w:val="de-DE"/>
        </w:rPr>
        <w:t xml:space="preserve">Şenocaks Konfiguration von Transnationalismus handelt weniger von nationalen und ethnischen ‚Identitäten‘ als vielmehr von Texturen und Architekturen historischer Erfahrung im Wandel, die nicht weniger </w:t>
      </w:r>
      <w:r w:rsidRPr="003C243E">
        <w:rPr>
          <w:i/>
          <w:lang w:val="de-DE"/>
        </w:rPr>
        <w:t>imaginiert</w:t>
      </w:r>
      <w:r w:rsidRPr="003C243E">
        <w:rPr>
          <w:lang w:val="de-DE"/>
        </w:rPr>
        <w:t xml:space="preserve"> wird als </w:t>
      </w:r>
      <w:r w:rsidRPr="003C243E">
        <w:rPr>
          <w:i/>
          <w:lang w:val="de-DE"/>
        </w:rPr>
        <w:t>gelebt</w:t>
      </w:r>
      <w:r w:rsidRPr="003C243E">
        <w:rPr>
          <w:lang w:val="de-DE"/>
        </w:rPr>
        <w:t>.</w:t>
      </w:r>
      <w:r w:rsidRPr="003C243E">
        <w:rPr>
          <w:rStyle w:val="FootnoteReference"/>
          <w:sz w:val="20"/>
          <w:szCs w:val="20"/>
          <w:lang w:val="de-DE"/>
        </w:rPr>
        <w:footnoteReference w:id="36"/>
      </w:r>
    </w:p>
    <w:p w14:paraId="77D3EC4E" w14:textId="20C87241" w:rsidR="00CF6C7C" w:rsidRPr="003C243E" w:rsidRDefault="00CF6C7C" w:rsidP="007916D6">
      <w:pPr>
        <w:pStyle w:val="KnigNeu"/>
        <w:ind w:firstLine="0"/>
        <w:rPr>
          <w:szCs w:val="20"/>
          <w:lang w:val="de-DE"/>
        </w:rPr>
      </w:pPr>
      <w:r w:rsidRPr="003C243E">
        <w:rPr>
          <w:szCs w:val="20"/>
          <w:lang w:val="de-DE"/>
        </w:rPr>
        <w:t xml:space="preserve">Die copräsenten Geschichten in </w:t>
      </w:r>
      <w:r w:rsidRPr="003C243E">
        <w:rPr>
          <w:i/>
          <w:szCs w:val="20"/>
          <w:lang w:val="de-DE"/>
        </w:rPr>
        <w:t>Übergang</w:t>
      </w:r>
      <w:r w:rsidRPr="003C243E">
        <w:rPr>
          <w:szCs w:val="20"/>
          <w:lang w:val="de-DE"/>
        </w:rPr>
        <w:t xml:space="preserve"> entsprechen der Befähigung zu veränderlichen Identifikationen, die Adelson „touching tales“ nennt, die „commingle cultural developments and historical references generally not thought to belong together in any proper sense“.</w:t>
      </w:r>
      <w:r w:rsidRPr="003C243E">
        <w:rPr>
          <w:rStyle w:val="FootnoteReference"/>
          <w:szCs w:val="20"/>
          <w:lang w:val="de-DE"/>
        </w:rPr>
        <w:footnoteReference w:id="37"/>
      </w:r>
      <w:r w:rsidRPr="003C243E">
        <w:rPr>
          <w:szCs w:val="20"/>
          <w:lang w:val="de-DE"/>
        </w:rPr>
        <w:t xml:space="preserve"> Laut Şenocak verschmilzt der eigene Erinnerungshorizont mit einem </w:t>
      </w:r>
      <w:r w:rsidR="00326963" w:rsidRPr="003C243E">
        <w:rPr>
          <w:szCs w:val="20"/>
          <w:lang w:val="de-DE"/>
        </w:rPr>
        <w:t>f</w:t>
      </w:r>
      <w:r w:rsidRPr="003C243E">
        <w:rPr>
          <w:szCs w:val="20"/>
          <w:lang w:val="de-DE"/>
        </w:rPr>
        <w:t>remden also nicht, sondern er berührt und verändert ihn und wird selbst veränd</w:t>
      </w:r>
      <w:r w:rsidR="003A1C57" w:rsidRPr="003C243E">
        <w:rPr>
          <w:szCs w:val="20"/>
          <w:lang w:val="de-DE"/>
        </w:rPr>
        <w:t>ert im Sinne einer Vermischung.</w:t>
      </w:r>
      <w:r w:rsidR="00236419" w:rsidRPr="003C243E">
        <w:rPr>
          <w:szCs w:val="20"/>
          <w:lang w:val="de-DE"/>
        </w:rPr>
        <w:t xml:space="preserve"> </w:t>
      </w:r>
      <w:r w:rsidRPr="003C243E">
        <w:rPr>
          <w:szCs w:val="20"/>
          <w:lang w:val="de-DE"/>
        </w:rPr>
        <w:t xml:space="preserve">Dies </w:t>
      </w:r>
      <w:r w:rsidR="00C354B2" w:rsidRPr="003C243E">
        <w:rPr>
          <w:szCs w:val="20"/>
          <w:lang w:val="de-DE"/>
        </w:rPr>
        <w:t xml:space="preserve">zeigt die </w:t>
      </w:r>
      <w:r w:rsidRPr="003C243E">
        <w:rPr>
          <w:szCs w:val="20"/>
          <w:lang w:val="de-DE"/>
        </w:rPr>
        <w:t xml:space="preserve">Offenheit der negativen Hermeneutik genauso wie </w:t>
      </w:r>
      <w:r w:rsidR="000470A5" w:rsidRPr="003C243E">
        <w:rPr>
          <w:szCs w:val="20"/>
          <w:lang w:val="de-DE"/>
        </w:rPr>
        <w:t>das</w:t>
      </w:r>
      <w:r w:rsidR="00DE7D58" w:rsidRPr="003C243E">
        <w:rPr>
          <w:szCs w:val="20"/>
          <w:lang w:val="de-DE"/>
        </w:rPr>
        <w:t xml:space="preserve"> </w:t>
      </w:r>
      <w:r w:rsidR="00C354B2" w:rsidRPr="003C243E">
        <w:rPr>
          <w:szCs w:val="20"/>
          <w:lang w:val="de-DE"/>
        </w:rPr>
        <w:t>Bild des</w:t>
      </w:r>
      <w:r w:rsidR="000470A5" w:rsidRPr="003C243E">
        <w:rPr>
          <w:szCs w:val="20"/>
          <w:lang w:val="de-DE"/>
        </w:rPr>
        <w:t xml:space="preserve"> </w:t>
      </w:r>
      <w:r w:rsidRPr="003C243E">
        <w:rPr>
          <w:szCs w:val="20"/>
          <w:lang w:val="de-DE"/>
        </w:rPr>
        <w:t>Haus</w:t>
      </w:r>
      <w:r w:rsidR="00C354B2" w:rsidRPr="003C243E">
        <w:rPr>
          <w:szCs w:val="20"/>
          <w:lang w:val="de-DE"/>
        </w:rPr>
        <w:t>es</w:t>
      </w:r>
      <w:r w:rsidRPr="003C243E">
        <w:rPr>
          <w:szCs w:val="20"/>
          <w:lang w:val="de-DE"/>
        </w:rPr>
        <w:t xml:space="preserve"> in </w:t>
      </w:r>
      <w:r w:rsidRPr="003C243E">
        <w:rPr>
          <w:i/>
          <w:szCs w:val="20"/>
          <w:lang w:val="de-DE"/>
        </w:rPr>
        <w:t>Übergang</w:t>
      </w:r>
      <w:r w:rsidRPr="003C243E">
        <w:rPr>
          <w:szCs w:val="20"/>
          <w:lang w:val="de-DE"/>
        </w:rPr>
        <w:t xml:space="preserve">, welches nicht nur Grenzen nach außen markiert, sondern auch Türen und Fenster zum </w:t>
      </w:r>
      <w:r w:rsidR="000470A5" w:rsidRPr="003C243E">
        <w:rPr>
          <w:szCs w:val="20"/>
          <w:lang w:val="de-DE"/>
        </w:rPr>
        <w:t>H</w:t>
      </w:r>
      <w:r w:rsidRPr="003C243E">
        <w:rPr>
          <w:szCs w:val="20"/>
          <w:lang w:val="de-DE"/>
        </w:rPr>
        <w:t xml:space="preserve">inein- und </w:t>
      </w:r>
      <w:r w:rsidR="000470A5" w:rsidRPr="003C243E">
        <w:rPr>
          <w:szCs w:val="20"/>
          <w:lang w:val="de-DE"/>
        </w:rPr>
        <w:t>H</w:t>
      </w:r>
      <w:r w:rsidRPr="003C243E">
        <w:rPr>
          <w:szCs w:val="20"/>
          <w:lang w:val="de-DE"/>
        </w:rPr>
        <w:t>erausgehen hat</w:t>
      </w:r>
      <w:r w:rsidR="000470A5" w:rsidRPr="003C243E">
        <w:rPr>
          <w:szCs w:val="20"/>
          <w:lang w:val="de-DE"/>
        </w:rPr>
        <w:t xml:space="preserve"> </w:t>
      </w:r>
      <w:r w:rsidRPr="003C243E">
        <w:rPr>
          <w:szCs w:val="20"/>
          <w:lang w:val="de-DE"/>
        </w:rPr>
        <w:t xml:space="preserve">– ein besonders wichtiges Argument im Blick auf die religiöse Identität in </w:t>
      </w:r>
      <w:r w:rsidRPr="003C243E">
        <w:rPr>
          <w:i/>
          <w:szCs w:val="20"/>
          <w:lang w:val="de-DE"/>
        </w:rPr>
        <w:t>Übergang</w:t>
      </w:r>
      <w:r w:rsidRPr="003C243E">
        <w:rPr>
          <w:szCs w:val="20"/>
          <w:lang w:val="de-DE"/>
        </w:rPr>
        <w:t>.</w:t>
      </w:r>
    </w:p>
    <w:p w14:paraId="181D64E6" w14:textId="77777777" w:rsidR="00CF6C7C" w:rsidRPr="003C243E" w:rsidRDefault="00CF6C7C" w:rsidP="00CF6C7C">
      <w:pPr>
        <w:pStyle w:val="KnigNeu"/>
        <w:rPr>
          <w:szCs w:val="20"/>
          <w:lang w:val="de-DE"/>
        </w:rPr>
      </w:pPr>
    </w:p>
    <w:p w14:paraId="3AB48912" w14:textId="77777777" w:rsidR="00CF6C7C" w:rsidRPr="003C243E" w:rsidRDefault="00CF6C7C" w:rsidP="00FF42F4">
      <w:pPr>
        <w:pStyle w:val="KnigNeu"/>
        <w:ind w:firstLine="0"/>
        <w:rPr>
          <w:b/>
          <w:i/>
          <w:szCs w:val="20"/>
          <w:lang w:val="de-DE"/>
        </w:rPr>
      </w:pPr>
      <w:r w:rsidRPr="003C243E">
        <w:rPr>
          <w:b/>
          <w:szCs w:val="20"/>
          <w:lang w:val="de-DE"/>
        </w:rPr>
        <w:t xml:space="preserve">„in meinem All bist du der einzige Planet“: Der Himmel und die Erde in </w:t>
      </w:r>
      <w:r w:rsidRPr="003C243E">
        <w:rPr>
          <w:b/>
          <w:i/>
          <w:szCs w:val="20"/>
          <w:lang w:val="de-DE"/>
        </w:rPr>
        <w:t>Übergang</w:t>
      </w:r>
    </w:p>
    <w:p w14:paraId="3AFB5640" w14:textId="77777777" w:rsidR="00CF6C7C" w:rsidRPr="003C243E" w:rsidRDefault="00CF6C7C" w:rsidP="00FF42F4">
      <w:pPr>
        <w:pStyle w:val="KnigNeu"/>
        <w:ind w:firstLine="0"/>
        <w:rPr>
          <w:szCs w:val="20"/>
          <w:lang w:val="de-DE"/>
        </w:rPr>
      </w:pPr>
    </w:p>
    <w:p w14:paraId="57289F81" w14:textId="0E1E77D1" w:rsidR="00CF6C7C" w:rsidRPr="003C243E" w:rsidRDefault="00CF6C7C" w:rsidP="00FF42F4">
      <w:pPr>
        <w:pStyle w:val="KnigNeu"/>
        <w:ind w:firstLine="0"/>
        <w:rPr>
          <w:szCs w:val="20"/>
          <w:lang w:val="de-DE"/>
        </w:rPr>
      </w:pPr>
      <w:r w:rsidRPr="003C243E">
        <w:rPr>
          <w:szCs w:val="20"/>
          <w:lang w:val="de-DE"/>
        </w:rPr>
        <w:t xml:space="preserve">Şenocak stellt den Islam in </w:t>
      </w:r>
      <w:r w:rsidR="000349F8" w:rsidRPr="003C243E">
        <w:rPr>
          <w:szCs w:val="20"/>
          <w:lang w:val="de-DE"/>
        </w:rPr>
        <w:t>das Zentru</w:t>
      </w:r>
      <w:r w:rsidR="00C354B2" w:rsidRPr="003C243E">
        <w:rPr>
          <w:szCs w:val="20"/>
          <w:lang w:val="de-DE"/>
        </w:rPr>
        <w:t>m</w:t>
      </w:r>
      <w:r w:rsidR="000349F8" w:rsidRPr="003C243E">
        <w:rPr>
          <w:szCs w:val="20"/>
          <w:lang w:val="de-DE"/>
        </w:rPr>
        <w:t xml:space="preserve"> </w:t>
      </w:r>
      <w:r w:rsidRPr="003C243E">
        <w:rPr>
          <w:szCs w:val="20"/>
          <w:lang w:val="de-DE"/>
        </w:rPr>
        <w:t xml:space="preserve">der gegenwärtigen Identitätskonflikte und, wie ich schon oben kurz </w:t>
      </w:r>
      <w:r w:rsidR="00C354B2" w:rsidRPr="003C243E">
        <w:rPr>
          <w:szCs w:val="20"/>
          <w:lang w:val="de-DE"/>
        </w:rPr>
        <w:t>andeutete</w:t>
      </w:r>
      <w:r w:rsidRPr="003C243E">
        <w:rPr>
          <w:szCs w:val="20"/>
          <w:lang w:val="de-DE"/>
        </w:rPr>
        <w:t xml:space="preserve">, eine </w:t>
      </w:r>
      <w:r w:rsidR="00C354B2" w:rsidRPr="003C243E">
        <w:rPr>
          <w:szCs w:val="20"/>
          <w:lang w:val="de-DE"/>
        </w:rPr>
        <w:t>Auseinandersetzung</w:t>
      </w:r>
      <w:r w:rsidR="003A1C57" w:rsidRPr="003C243E">
        <w:rPr>
          <w:szCs w:val="20"/>
          <w:lang w:val="de-DE"/>
        </w:rPr>
        <w:t xml:space="preserve"> </w:t>
      </w:r>
      <w:r w:rsidRPr="003C243E">
        <w:rPr>
          <w:szCs w:val="20"/>
          <w:lang w:val="de-DE"/>
        </w:rPr>
        <w:t xml:space="preserve">mit dem Islam steht im Mittelpunkt von </w:t>
      </w:r>
      <w:r w:rsidRPr="003C243E">
        <w:rPr>
          <w:i/>
          <w:szCs w:val="20"/>
          <w:lang w:val="de-DE"/>
        </w:rPr>
        <w:t>Übergang.</w:t>
      </w:r>
      <w:r w:rsidRPr="003C243E">
        <w:rPr>
          <w:szCs w:val="20"/>
          <w:lang w:val="de-DE"/>
        </w:rPr>
        <w:t xml:space="preserve"> Dieser Lyrikband erschien ein Jahr vor seinem Essayband </w:t>
      </w:r>
      <w:r w:rsidRPr="003C243E">
        <w:rPr>
          <w:szCs w:val="20"/>
          <w:lang w:val="de-DE"/>
        </w:rPr>
        <w:lastRenderedPageBreak/>
        <w:t xml:space="preserve">zum Thema Islam </w:t>
      </w:r>
      <w:r w:rsidRPr="003C243E">
        <w:rPr>
          <w:i/>
          <w:szCs w:val="20"/>
          <w:lang w:val="de-DE"/>
        </w:rPr>
        <w:t>Das Land hinter den Buchstaben</w:t>
      </w:r>
      <w:r w:rsidRPr="003C243E">
        <w:rPr>
          <w:szCs w:val="20"/>
          <w:lang w:val="de-DE"/>
        </w:rPr>
        <w:t xml:space="preserve">, </w:t>
      </w:r>
      <w:r w:rsidR="006B1A4B" w:rsidRPr="003C243E">
        <w:rPr>
          <w:szCs w:val="20"/>
          <w:lang w:val="de-DE"/>
        </w:rPr>
        <w:t>der</w:t>
      </w:r>
      <w:r w:rsidR="003A1C57" w:rsidRPr="003C243E">
        <w:rPr>
          <w:szCs w:val="20"/>
          <w:lang w:val="de-DE"/>
        </w:rPr>
        <w:t xml:space="preserve"> </w:t>
      </w:r>
      <w:r w:rsidRPr="003C243E">
        <w:rPr>
          <w:szCs w:val="20"/>
          <w:lang w:val="de-DE"/>
        </w:rPr>
        <w:t xml:space="preserve">einen </w:t>
      </w:r>
      <w:r w:rsidR="006B1A4B" w:rsidRPr="003C243E">
        <w:rPr>
          <w:szCs w:val="20"/>
          <w:lang w:val="de-DE"/>
        </w:rPr>
        <w:t>hilfreichen</w:t>
      </w:r>
      <w:r w:rsidR="003A1C57" w:rsidRPr="003C243E">
        <w:rPr>
          <w:szCs w:val="20"/>
          <w:lang w:val="de-DE"/>
        </w:rPr>
        <w:t xml:space="preserve"> </w:t>
      </w:r>
      <w:r w:rsidR="006B1A4B" w:rsidRPr="003C243E">
        <w:rPr>
          <w:szCs w:val="20"/>
          <w:lang w:val="de-DE"/>
        </w:rPr>
        <w:t>Einstieg</w:t>
      </w:r>
      <w:r w:rsidR="003A1C57" w:rsidRPr="003C243E">
        <w:rPr>
          <w:szCs w:val="20"/>
          <w:lang w:val="de-DE"/>
        </w:rPr>
        <w:t xml:space="preserve"> </w:t>
      </w:r>
      <w:r w:rsidRPr="003C243E">
        <w:rPr>
          <w:szCs w:val="20"/>
          <w:lang w:val="de-DE"/>
        </w:rPr>
        <w:t>in die Themen und die Symbolik dieser hermetischen Gedichte</w:t>
      </w:r>
      <w:r w:rsidR="003A1C57" w:rsidRPr="003C243E">
        <w:rPr>
          <w:szCs w:val="20"/>
          <w:lang w:val="de-DE"/>
        </w:rPr>
        <w:t xml:space="preserve"> </w:t>
      </w:r>
      <w:r w:rsidR="006B1A4B" w:rsidRPr="003C243E">
        <w:rPr>
          <w:szCs w:val="20"/>
          <w:lang w:val="de-DE"/>
        </w:rPr>
        <w:t>gibt.</w:t>
      </w:r>
      <w:r w:rsidRPr="003C243E">
        <w:rPr>
          <w:szCs w:val="20"/>
          <w:lang w:val="de-DE"/>
        </w:rPr>
        <w:t xml:space="preserve"> </w:t>
      </w:r>
      <w:r w:rsidR="006B1A4B" w:rsidRPr="003C243E">
        <w:rPr>
          <w:szCs w:val="20"/>
          <w:lang w:val="de-DE"/>
        </w:rPr>
        <w:t>B</w:t>
      </w:r>
      <w:r w:rsidRPr="003C243E">
        <w:rPr>
          <w:szCs w:val="20"/>
          <w:lang w:val="de-DE"/>
        </w:rPr>
        <w:t>eide Werke stellen eine beachtenswerte Auseinandersetzung mit dem Islam in der Post-9/11-Zeit dar. Yeşilada argumentiert zu Recht: „Das Ich ist unterwegs in Şenocaks neuester Lyrik, so wie ein Derwisch auf Wanderschaft“;</w:t>
      </w:r>
      <w:r w:rsidRPr="003C243E">
        <w:rPr>
          <w:rStyle w:val="FootnoteReference"/>
          <w:szCs w:val="20"/>
          <w:lang w:val="de-DE"/>
        </w:rPr>
        <w:footnoteReference w:id="38"/>
      </w:r>
      <w:r w:rsidRPr="003C243E">
        <w:rPr>
          <w:szCs w:val="20"/>
          <w:lang w:val="de-DE"/>
        </w:rPr>
        <w:t xml:space="preserve"> und sie empfindet dieses Derwischmotiv auch als bedeutsam für seine Lyrikbände </w:t>
      </w:r>
      <w:r w:rsidRPr="003C243E">
        <w:rPr>
          <w:i/>
          <w:szCs w:val="20"/>
          <w:lang w:val="de-DE"/>
        </w:rPr>
        <w:t xml:space="preserve">Flammentropfen </w:t>
      </w:r>
      <w:r w:rsidRPr="003C243E">
        <w:rPr>
          <w:szCs w:val="20"/>
          <w:lang w:val="de-DE"/>
        </w:rPr>
        <w:t xml:space="preserve">(1985) und </w:t>
      </w:r>
      <w:r w:rsidRPr="003C243E">
        <w:rPr>
          <w:i/>
          <w:szCs w:val="20"/>
          <w:lang w:val="de-DE"/>
        </w:rPr>
        <w:t xml:space="preserve">Ritual der Jugend </w:t>
      </w:r>
      <w:r w:rsidRPr="003C243E">
        <w:rPr>
          <w:szCs w:val="20"/>
          <w:lang w:val="de-DE"/>
        </w:rPr>
        <w:t xml:space="preserve">(1987), die auch von der sufistische </w:t>
      </w:r>
      <w:r w:rsidR="00236419" w:rsidRPr="003C243E">
        <w:rPr>
          <w:szCs w:val="20"/>
          <w:lang w:val="de-DE"/>
        </w:rPr>
        <w:t xml:space="preserve">Ambiguität </w:t>
      </w:r>
      <w:r w:rsidRPr="003C243E">
        <w:rPr>
          <w:szCs w:val="20"/>
          <w:lang w:val="de-DE"/>
        </w:rPr>
        <w:t>der göttlichen und der menschlichen Liebe beeinflusst werden</w:t>
      </w:r>
      <w:r w:rsidR="00EB7EDC" w:rsidRPr="003C243E">
        <w:rPr>
          <w:szCs w:val="20"/>
          <w:lang w:val="de-DE"/>
        </w:rPr>
        <w:t>,</w:t>
      </w:r>
      <w:r w:rsidRPr="003C243E">
        <w:rPr>
          <w:rStyle w:val="FootnoteReference"/>
          <w:szCs w:val="20"/>
          <w:lang w:val="de-DE"/>
        </w:rPr>
        <w:footnoteReference w:id="39"/>
      </w:r>
      <w:r w:rsidR="00EB7EDC" w:rsidRPr="003C243E">
        <w:rPr>
          <w:szCs w:val="20"/>
          <w:lang w:val="de-DE"/>
        </w:rPr>
        <w:t xml:space="preserve"> wie in der Lyrik Emres: ‚</w:t>
      </w:r>
      <w:r w:rsidR="00EB7EDC" w:rsidRPr="003C243E">
        <w:rPr>
          <w:rFonts w:cs="Times New Roman"/>
          <w:color w:val="000000" w:themeColor="text1"/>
          <w:lang w:val="de-DE"/>
        </w:rPr>
        <w:t>Wo du hinschaust ist Gott in allen Körpern zu finden’.</w:t>
      </w:r>
      <w:r w:rsidR="00EB7EDC" w:rsidRPr="003C243E">
        <w:rPr>
          <w:rStyle w:val="FootnoteReference"/>
          <w:rFonts w:cs="Times New Roman"/>
          <w:color w:val="000000" w:themeColor="text1"/>
          <w:lang w:val="de-DE"/>
        </w:rPr>
        <w:footnoteReference w:id="40"/>
      </w:r>
      <w:r w:rsidRPr="003C243E">
        <w:rPr>
          <w:szCs w:val="20"/>
          <w:lang w:val="de-DE"/>
        </w:rPr>
        <w:t xml:space="preserve"> Es gibt also Verbindungen zwischen </w:t>
      </w:r>
      <w:r w:rsidRPr="003C243E">
        <w:rPr>
          <w:i/>
          <w:szCs w:val="20"/>
          <w:lang w:val="de-DE"/>
        </w:rPr>
        <w:t>Übergang</w:t>
      </w:r>
      <w:r w:rsidRPr="003C243E">
        <w:rPr>
          <w:szCs w:val="20"/>
          <w:lang w:val="de-DE"/>
        </w:rPr>
        <w:t xml:space="preserve"> und der frühen Dichtung Şenocaks, die auch Bezüge </w:t>
      </w:r>
      <w:r w:rsidR="006B1A4B" w:rsidRPr="003C243E">
        <w:rPr>
          <w:szCs w:val="20"/>
          <w:lang w:val="de-DE"/>
        </w:rPr>
        <w:t>zum</w:t>
      </w:r>
      <w:r w:rsidR="003A1C57" w:rsidRPr="003C243E">
        <w:rPr>
          <w:szCs w:val="20"/>
          <w:lang w:val="de-DE"/>
        </w:rPr>
        <w:t xml:space="preserve"> </w:t>
      </w:r>
      <w:r w:rsidRPr="003C243E">
        <w:rPr>
          <w:szCs w:val="20"/>
          <w:lang w:val="de-DE"/>
        </w:rPr>
        <w:t xml:space="preserve">Sufismus hat. </w:t>
      </w:r>
      <w:r w:rsidRPr="003C243E">
        <w:rPr>
          <w:i/>
          <w:szCs w:val="20"/>
          <w:lang w:val="de-DE"/>
        </w:rPr>
        <w:t>Übergang</w:t>
      </w:r>
      <w:r w:rsidRPr="003C243E">
        <w:rPr>
          <w:szCs w:val="20"/>
          <w:lang w:val="de-DE"/>
        </w:rPr>
        <w:t xml:space="preserve"> ist jedoch auch anders, weil </w:t>
      </w:r>
      <w:r w:rsidR="0012072B" w:rsidRPr="003C243E">
        <w:rPr>
          <w:szCs w:val="20"/>
          <w:lang w:val="de-DE"/>
        </w:rPr>
        <w:t xml:space="preserve">darin </w:t>
      </w:r>
      <w:r w:rsidR="006B1A4B" w:rsidRPr="003C243E">
        <w:rPr>
          <w:szCs w:val="20"/>
          <w:lang w:val="de-DE"/>
        </w:rPr>
        <w:t>die</w:t>
      </w:r>
      <w:r w:rsidR="0012072B" w:rsidRPr="003C243E">
        <w:rPr>
          <w:szCs w:val="20"/>
          <w:lang w:val="de-DE"/>
        </w:rPr>
        <w:t xml:space="preserve"> </w:t>
      </w:r>
      <w:r w:rsidRPr="003C243E">
        <w:rPr>
          <w:szCs w:val="20"/>
          <w:lang w:val="de-DE"/>
        </w:rPr>
        <w:t xml:space="preserve">Aufforderung, den ambiguitätstolerierenden Frühislam wiederzuentdecken, </w:t>
      </w:r>
      <w:r w:rsidR="006B1A4B" w:rsidRPr="003C243E">
        <w:rPr>
          <w:szCs w:val="20"/>
          <w:lang w:val="de-DE"/>
        </w:rPr>
        <w:t>vor dem Hintergrund</w:t>
      </w:r>
      <w:r w:rsidR="0012072B" w:rsidRPr="003C243E">
        <w:rPr>
          <w:szCs w:val="20"/>
          <w:lang w:val="de-DE"/>
        </w:rPr>
        <w:t xml:space="preserve"> </w:t>
      </w:r>
      <w:r w:rsidRPr="003C243E">
        <w:rPr>
          <w:szCs w:val="20"/>
          <w:lang w:val="de-DE"/>
        </w:rPr>
        <w:t>der Post-9/11-Situation wohl dringender</w:t>
      </w:r>
      <w:r w:rsidR="003A1C57" w:rsidRPr="003C243E">
        <w:rPr>
          <w:szCs w:val="20"/>
          <w:lang w:val="de-DE"/>
        </w:rPr>
        <w:t xml:space="preserve"> </w:t>
      </w:r>
      <w:r w:rsidR="00F317CE" w:rsidRPr="003C243E">
        <w:rPr>
          <w:szCs w:val="20"/>
          <w:lang w:val="de-DE"/>
        </w:rPr>
        <w:t>geäußert wird</w:t>
      </w:r>
      <w:r w:rsidRPr="003C243E">
        <w:rPr>
          <w:szCs w:val="20"/>
          <w:lang w:val="de-DE"/>
        </w:rPr>
        <w:t xml:space="preserve">. Wie </w:t>
      </w:r>
      <w:r w:rsidR="00F317CE" w:rsidRPr="003C243E">
        <w:rPr>
          <w:szCs w:val="20"/>
          <w:lang w:val="de-DE"/>
        </w:rPr>
        <w:t xml:space="preserve">der </w:t>
      </w:r>
      <w:r w:rsidRPr="003C243E">
        <w:rPr>
          <w:szCs w:val="20"/>
          <w:lang w:val="de-DE"/>
        </w:rPr>
        <w:t>Islamwissenschaftler Thomas Bauer</w:t>
      </w:r>
      <w:r w:rsidR="003A1C57" w:rsidRPr="003C243E">
        <w:rPr>
          <w:szCs w:val="20"/>
          <w:lang w:val="de-DE"/>
        </w:rPr>
        <w:t xml:space="preserve"> </w:t>
      </w:r>
      <w:r w:rsidR="00236419" w:rsidRPr="003C243E">
        <w:rPr>
          <w:szCs w:val="20"/>
          <w:lang w:val="de-DE"/>
        </w:rPr>
        <w:t xml:space="preserve">in Bezug auf den Frühislam </w:t>
      </w:r>
      <w:r w:rsidR="00F317CE" w:rsidRPr="003C243E">
        <w:rPr>
          <w:szCs w:val="20"/>
          <w:lang w:val="de-DE"/>
        </w:rPr>
        <w:t>feststellt</w:t>
      </w:r>
      <w:r w:rsidRPr="003C243E">
        <w:rPr>
          <w:szCs w:val="20"/>
          <w:lang w:val="de-DE"/>
        </w:rPr>
        <w:t>: „Nicht Mittelalter und Moderne stehen einander gegenüber, sondern das moderne Beharren auf Eindeutigkeit und das postmoderne Potential der islamischen nachformativen Tradition.“</w:t>
      </w:r>
      <w:r w:rsidRPr="003C243E">
        <w:rPr>
          <w:rStyle w:val="FootnoteReference"/>
          <w:szCs w:val="20"/>
          <w:lang w:val="de-DE"/>
        </w:rPr>
        <w:footnoteReference w:id="41"/>
      </w:r>
    </w:p>
    <w:p w14:paraId="49FCF7AD" w14:textId="372A86ED" w:rsidR="00CF6C7C" w:rsidRPr="003C243E" w:rsidRDefault="00CF6C7C" w:rsidP="003A1C57">
      <w:pPr>
        <w:pStyle w:val="KnigNeu"/>
        <w:ind w:firstLine="567"/>
        <w:rPr>
          <w:szCs w:val="20"/>
          <w:lang w:val="de-DE"/>
        </w:rPr>
      </w:pPr>
      <w:r w:rsidRPr="003C243E">
        <w:rPr>
          <w:szCs w:val="20"/>
          <w:lang w:val="de-DE"/>
        </w:rPr>
        <w:t xml:space="preserve">Şenocak nützt die islamische Vergangenheit als Inspiration, um die islamische Kultur kreativ neuzuformen und sie für die Postmoderne </w:t>
      </w:r>
      <w:r w:rsidR="00F317CE" w:rsidRPr="003C243E">
        <w:rPr>
          <w:szCs w:val="20"/>
          <w:lang w:val="de-DE"/>
        </w:rPr>
        <w:t>anschlussfähig</w:t>
      </w:r>
      <w:r w:rsidR="003A1C57" w:rsidRPr="003C243E">
        <w:rPr>
          <w:szCs w:val="20"/>
          <w:lang w:val="de-DE"/>
        </w:rPr>
        <w:t xml:space="preserve"> </w:t>
      </w:r>
      <w:r w:rsidRPr="003C243E">
        <w:rPr>
          <w:szCs w:val="20"/>
          <w:lang w:val="de-DE"/>
        </w:rPr>
        <w:t xml:space="preserve">zu machen. Ähnlich wie Nancy, der die Tendenz die Gemeinschaften der Vergangenheit als einheitlich und rein zu betrachten tadelt, befürwortet Şenocak im Essay „Islam übersetzen“ (2003) die „Glorifizierung ferner Zeiten“ nicht, sondern </w:t>
      </w:r>
      <w:r w:rsidR="00D30D31" w:rsidRPr="003C243E">
        <w:rPr>
          <w:szCs w:val="20"/>
          <w:lang w:val="de-DE"/>
        </w:rPr>
        <w:t xml:space="preserve">er tritt für </w:t>
      </w:r>
      <w:r w:rsidRPr="003C243E">
        <w:rPr>
          <w:szCs w:val="20"/>
          <w:lang w:val="de-DE"/>
        </w:rPr>
        <w:t>die schöpferische Neuinterpretation religiöser Quellen</w:t>
      </w:r>
      <w:r w:rsidR="00D30D31" w:rsidRPr="003C243E">
        <w:rPr>
          <w:szCs w:val="20"/>
          <w:lang w:val="de-DE"/>
        </w:rPr>
        <w:t xml:space="preserve"> ein</w:t>
      </w:r>
      <w:r w:rsidRPr="003C243E">
        <w:rPr>
          <w:szCs w:val="20"/>
          <w:lang w:val="de-DE"/>
        </w:rPr>
        <w:t xml:space="preserve">, um die Stagnation des Religiösen </w:t>
      </w:r>
      <w:r w:rsidR="00F317CE" w:rsidRPr="003C243E">
        <w:rPr>
          <w:szCs w:val="20"/>
          <w:lang w:val="de-DE"/>
        </w:rPr>
        <w:t>im</w:t>
      </w:r>
      <w:r w:rsidR="003A1C57" w:rsidRPr="003C243E">
        <w:rPr>
          <w:szCs w:val="20"/>
          <w:lang w:val="de-DE"/>
        </w:rPr>
        <w:t xml:space="preserve"> </w:t>
      </w:r>
      <w:r w:rsidRPr="003C243E">
        <w:rPr>
          <w:szCs w:val="20"/>
          <w:lang w:val="de-DE"/>
        </w:rPr>
        <w:t>Ritual zu vermeiden.</w:t>
      </w:r>
      <w:r w:rsidRPr="003C243E">
        <w:rPr>
          <w:rStyle w:val="FootnoteReference"/>
          <w:szCs w:val="20"/>
          <w:lang w:val="de-DE"/>
        </w:rPr>
        <w:footnoteReference w:id="42"/>
      </w:r>
      <w:r w:rsidRPr="003C243E">
        <w:rPr>
          <w:szCs w:val="20"/>
          <w:lang w:val="de-DE"/>
        </w:rPr>
        <w:t xml:space="preserve"> Hier plädiert er triftig für den </w:t>
      </w:r>
      <w:r w:rsidR="00F317CE" w:rsidRPr="003C243E">
        <w:rPr>
          <w:szCs w:val="20"/>
          <w:lang w:val="de-DE"/>
        </w:rPr>
        <w:t>Beibehalt</w:t>
      </w:r>
      <w:r w:rsidR="003A1C57" w:rsidRPr="003C243E">
        <w:rPr>
          <w:szCs w:val="20"/>
          <w:lang w:val="de-DE"/>
        </w:rPr>
        <w:t xml:space="preserve"> </w:t>
      </w:r>
      <w:r w:rsidRPr="003C243E">
        <w:rPr>
          <w:szCs w:val="20"/>
          <w:lang w:val="de-DE"/>
        </w:rPr>
        <w:t xml:space="preserve">der Vieldeutigkeit der religiösen Texte, da diejenigen, die die eigene Exegese für die absolute Wahrheit halten, sich über Gott stellen. Während die Wahrheit göttlich ist, ist „[d]er Mensch aber […] ein nach Wahrheit </w:t>
      </w:r>
      <w:r w:rsidR="00D30D31" w:rsidRPr="003C243E">
        <w:rPr>
          <w:szCs w:val="20"/>
          <w:lang w:val="de-DE"/>
        </w:rPr>
        <w:t>S</w:t>
      </w:r>
      <w:r w:rsidRPr="003C243E">
        <w:rPr>
          <w:szCs w:val="20"/>
          <w:lang w:val="de-DE"/>
        </w:rPr>
        <w:t>uchender“.</w:t>
      </w:r>
      <w:r w:rsidRPr="003C243E">
        <w:rPr>
          <w:rStyle w:val="FootnoteReference"/>
          <w:szCs w:val="20"/>
          <w:lang w:val="de-DE"/>
        </w:rPr>
        <w:footnoteReference w:id="43"/>
      </w:r>
      <w:r w:rsidRPr="003C243E">
        <w:rPr>
          <w:szCs w:val="20"/>
          <w:lang w:val="de-DE"/>
        </w:rPr>
        <w:t xml:space="preserve"> </w:t>
      </w:r>
      <w:r w:rsidRPr="003C243E">
        <w:rPr>
          <w:color w:val="000000" w:themeColor="text1"/>
          <w:szCs w:val="20"/>
          <w:lang w:val="de-DE"/>
        </w:rPr>
        <w:t xml:space="preserve">Diese Vorstellung </w:t>
      </w:r>
      <w:r w:rsidR="00F317CE" w:rsidRPr="003C243E">
        <w:rPr>
          <w:color w:val="000000" w:themeColor="text1"/>
          <w:szCs w:val="20"/>
          <w:lang w:val="de-DE"/>
        </w:rPr>
        <w:t>vom</w:t>
      </w:r>
      <w:r w:rsidR="006545C3" w:rsidRPr="003C243E">
        <w:rPr>
          <w:color w:val="000000" w:themeColor="text1"/>
          <w:szCs w:val="20"/>
          <w:lang w:val="de-DE"/>
        </w:rPr>
        <w:t xml:space="preserve"> </w:t>
      </w:r>
      <w:r w:rsidRPr="003C243E">
        <w:rPr>
          <w:color w:val="000000" w:themeColor="text1"/>
          <w:szCs w:val="20"/>
          <w:lang w:val="de-DE"/>
        </w:rPr>
        <w:t xml:space="preserve">Islam kommt auch in </w:t>
      </w:r>
      <w:r w:rsidRPr="003C243E">
        <w:rPr>
          <w:i/>
          <w:color w:val="000000" w:themeColor="text1"/>
          <w:szCs w:val="20"/>
          <w:lang w:val="de-DE"/>
        </w:rPr>
        <w:t>Übergang</w:t>
      </w:r>
      <w:r w:rsidRPr="003C243E">
        <w:rPr>
          <w:color w:val="000000" w:themeColor="text1"/>
          <w:szCs w:val="20"/>
          <w:lang w:val="de-DE"/>
        </w:rPr>
        <w:t xml:space="preserve"> vor, in dem Şenocak, genauso wie in seinen Essays, den Untergang des Sufismus in der Türkei</w:t>
      </w:r>
      <w:r w:rsidR="00F317CE" w:rsidRPr="003C243E">
        <w:rPr>
          <w:color w:val="000000" w:themeColor="text1"/>
          <w:szCs w:val="20"/>
          <w:lang w:val="de-DE"/>
        </w:rPr>
        <w:t>beklagt</w:t>
      </w:r>
      <w:r w:rsidRPr="003C243E">
        <w:rPr>
          <w:color w:val="000000" w:themeColor="text1"/>
          <w:szCs w:val="20"/>
          <w:lang w:val="de-DE"/>
        </w:rPr>
        <w:t xml:space="preserve">, wie etwa in Gedicht V aus dem Zyklus „Vor </w:t>
      </w:r>
      <w:r w:rsidRPr="003C243E">
        <w:rPr>
          <w:szCs w:val="20"/>
          <w:lang w:val="de-DE"/>
        </w:rPr>
        <w:t>der Festung“:</w:t>
      </w:r>
      <w:r w:rsidRPr="003C243E">
        <w:rPr>
          <w:rStyle w:val="FootnoteReference"/>
          <w:szCs w:val="20"/>
          <w:lang w:val="de-DE"/>
        </w:rPr>
        <w:footnoteReference w:id="44"/>
      </w:r>
    </w:p>
    <w:p w14:paraId="08B674E1" w14:textId="77777777" w:rsidR="00FF42F4" w:rsidRPr="003C243E" w:rsidRDefault="00FF42F4" w:rsidP="00CF6C7C">
      <w:pPr>
        <w:pStyle w:val="KnigNeu"/>
        <w:rPr>
          <w:szCs w:val="20"/>
          <w:lang w:val="de-DE"/>
        </w:rPr>
      </w:pPr>
    </w:p>
    <w:p w14:paraId="5AAE84B9" w14:textId="77777777" w:rsidR="00CF6C7C" w:rsidRPr="003C243E" w:rsidRDefault="00CF6C7C" w:rsidP="00FF42F4">
      <w:pPr>
        <w:pStyle w:val="KnigGedichte"/>
        <w:rPr>
          <w:lang w:val="de-DE"/>
        </w:rPr>
      </w:pPr>
      <w:r w:rsidRPr="003C243E">
        <w:rPr>
          <w:lang w:val="de-DE"/>
        </w:rPr>
        <w:t>Lampe des Orients</w:t>
      </w:r>
    </w:p>
    <w:p w14:paraId="742694C1" w14:textId="77777777" w:rsidR="00CF6C7C" w:rsidRPr="003C243E" w:rsidRDefault="00CF6C7C" w:rsidP="00FF42F4">
      <w:pPr>
        <w:pStyle w:val="KnigGedichte"/>
        <w:rPr>
          <w:lang w:val="de-DE"/>
        </w:rPr>
      </w:pPr>
      <w:r w:rsidRPr="003C243E">
        <w:rPr>
          <w:lang w:val="de-DE"/>
        </w:rPr>
        <w:t>ihr Licht fiel und zerbrach wie Glas</w:t>
      </w:r>
    </w:p>
    <w:p w14:paraId="0725B15E" w14:textId="77777777" w:rsidR="00CF6C7C" w:rsidRPr="003C243E" w:rsidRDefault="00CF6C7C" w:rsidP="00FF42F4">
      <w:pPr>
        <w:pStyle w:val="KnigGedichte"/>
        <w:rPr>
          <w:lang w:val="de-DE"/>
        </w:rPr>
      </w:pPr>
      <w:r w:rsidRPr="003C243E">
        <w:rPr>
          <w:lang w:val="de-DE"/>
        </w:rPr>
        <w:t>gäbe es noch die Nacht</w:t>
      </w:r>
    </w:p>
    <w:p w14:paraId="4C12235D" w14:textId="77777777" w:rsidR="00CF6C7C" w:rsidRPr="003C243E" w:rsidRDefault="00CF6C7C" w:rsidP="00FF42F4">
      <w:pPr>
        <w:pStyle w:val="KnigGedichte"/>
        <w:rPr>
          <w:lang w:val="de-DE"/>
        </w:rPr>
      </w:pPr>
      <w:r w:rsidRPr="003C243E">
        <w:rPr>
          <w:lang w:val="de-DE"/>
        </w:rPr>
        <w:t>funkelten hier die Glassplitter</w:t>
      </w:r>
    </w:p>
    <w:p w14:paraId="6EE373CF" w14:textId="77777777" w:rsidR="00CF6C7C" w:rsidRPr="003C243E" w:rsidRDefault="00CF6C7C" w:rsidP="00FF42F4">
      <w:pPr>
        <w:pStyle w:val="KnigGedichte"/>
        <w:rPr>
          <w:lang w:val="de-DE"/>
        </w:rPr>
      </w:pPr>
      <w:r w:rsidRPr="003C243E">
        <w:rPr>
          <w:lang w:val="de-DE"/>
        </w:rPr>
        <w:t>und in den Spiegeln des Narziß</w:t>
      </w:r>
    </w:p>
    <w:p w14:paraId="26DEC1EA" w14:textId="77777777" w:rsidR="00CF6C7C" w:rsidRPr="003C243E" w:rsidRDefault="00CF6C7C" w:rsidP="00FF42F4">
      <w:pPr>
        <w:pStyle w:val="KnigGedichte"/>
        <w:rPr>
          <w:lang w:val="de-DE"/>
        </w:rPr>
      </w:pPr>
      <w:r w:rsidRPr="003C243E">
        <w:rPr>
          <w:lang w:val="de-DE"/>
        </w:rPr>
        <w:t>stemmten Sultanpoeten die Schönheit</w:t>
      </w:r>
    </w:p>
    <w:p w14:paraId="4AC1EF45" w14:textId="77777777" w:rsidR="00CF6C7C" w:rsidRPr="003C243E" w:rsidRDefault="00CF6C7C" w:rsidP="00FF42F4">
      <w:pPr>
        <w:pStyle w:val="KnigGedichte"/>
        <w:rPr>
          <w:lang w:val="de-DE"/>
        </w:rPr>
      </w:pPr>
      <w:r w:rsidRPr="003C243E">
        <w:rPr>
          <w:lang w:val="de-DE"/>
        </w:rPr>
        <w:t>suchten den Schlüssel zum Paradies im All</w:t>
      </w:r>
    </w:p>
    <w:p w14:paraId="0D050BED" w14:textId="77777777" w:rsidR="00FF42F4" w:rsidRPr="003C243E" w:rsidRDefault="00FF42F4" w:rsidP="00CF6C7C">
      <w:pPr>
        <w:pStyle w:val="KnigNeu"/>
        <w:rPr>
          <w:szCs w:val="20"/>
          <w:lang w:val="de-DE"/>
        </w:rPr>
      </w:pPr>
    </w:p>
    <w:p w14:paraId="15A73F1E" w14:textId="0508EE6A" w:rsidR="00CF6C7C" w:rsidRPr="003C243E" w:rsidRDefault="00CF6C7C" w:rsidP="00FF42F4">
      <w:pPr>
        <w:pStyle w:val="KnigNeu"/>
        <w:ind w:firstLine="0"/>
        <w:rPr>
          <w:szCs w:val="20"/>
          <w:lang w:val="de-DE"/>
        </w:rPr>
      </w:pPr>
      <w:r w:rsidRPr="003C243E">
        <w:rPr>
          <w:szCs w:val="20"/>
          <w:lang w:val="de-DE"/>
        </w:rPr>
        <w:t>Die zerbrochene Lampe des Orients ist hier eine Anspielung auf den für die Sufis wichtigen „Lichtvers“ im Koran (Sure 24, Vers 35), der auch eine Baum</w:t>
      </w:r>
      <w:r w:rsidR="00346BAA">
        <w:rPr>
          <w:szCs w:val="20"/>
          <w:lang w:val="de-DE"/>
        </w:rPr>
        <w:t>-S</w:t>
      </w:r>
      <w:r w:rsidR="00346BAA" w:rsidRPr="003C243E">
        <w:rPr>
          <w:szCs w:val="20"/>
          <w:lang w:val="de-DE"/>
        </w:rPr>
        <w:t>ymbolik</w:t>
      </w:r>
      <w:r w:rsidRPr="003C243E">
        <w:rPr>
          <w:szCs w:val="20"/>
          <w:lang w:val="de-DE"/>
        </w:rPr>
        <w:t xml:space="preserve"> enthält. Die zerbrochene Lampe steht also für eine verschollene Heiligkeit oder für </w:t>
      </w:r>
      <w:r w:rsidR="00DB6FAB" w:rsidRPr="003C243E">
        <w:rPr>
          <w:szCs w:val="20"/>
          <w:lang w:val="de-DE"/>
        </w:rPr>
        <w:t xml:space="preserve">das </w:t>
      </w:r>
      <w:r w:rsidRPr="003C243E">
        <w:rPr>
          <w:szCs w:val="20"/>
          <w:lang w:val="de-DE"/>
        </w:rPr>
        <w:t xml:space="preserve">verlorene goldene Zeitalter des Sufismus im Mittelalter, dieses Gedicht ist </w:t>
      </w:r>
      <w:r w:rsidR="00DB6FAB" w:rsidRPr="003C243E">
        <w:rPr>
          <w:szCs w:val="20"/>
          <w:lang w:val="de-DE"/>
        </w:rPr>
        <w:t xml:space="preserve">aber </w:t>
      </w:r>
      <w:r w:rsidRPr="003C243E">
        <w:rPr>
          <w:szCs w:val="20"/>
          <w:lang w:val="de-DE"/>
        </w:rPr>
        <w:t>dennoch keine pessimistische Resignation über unsere Unfähigkeit, ein besseres Jetzt hervorzubringen: „es folgt einer Zeitwende / die schwarzen Tage werden sich lehnen an helle / wie totgesagte Heimkehrer an ihre Witwen“. Diese</w:t>
      </w:r>
      <w:r w:rsidR="00DB6FAB" w:rsidRPr="003C243E">
        <w:rPr>
          <w:szCs w:val="20"/>
          <w:lang w:val="de-DE"/>
        </w:rPr>
        <w:t>r</w:t>
      </w:r>
      <w:r w:rsidRPr="003C243E">
        <w:rPr>
          <w:szCs w:val="20"/>
          <w:lang w:val="de-DE"/>
        </w:rPr>
        <w:t xml:space="preserve"> Optimismus liegt vielleicht in einem (im Rückblick falsch gesetzten) Vertrauen in </w:t>
      </w:r>
      <w:r w:rsidR="00DB6FAB" w:rsidRPr="003C243E">
        <w:rPr>
          <w:szCs w:val="20"/>
          <w:lang w:val="de-DE"/>
        </w:rPr>
        <w:t xml:space="preserve">die </w:t>
      </w:r>
      <w:r w:rsidRPr="003C243E">
        <w:rPr>
          <w:szCs w:val="20"/>
          <w:lang w:val="de-DE"/>
        </w:rPr>
        <w:t xml:space="preserve">modernisierende </w:t>
      </w:r>
      <w:r w:rsidR="00DB6FAB" w:rsidRPr="003C243E">
        <w:rPr>
          <w:szCs w:val="20"/>
          <w:lang w:val="de-DE"/>
        </w:rPr>
        <w:t xml:space="preserve">Kraft </w:t>
      </w:r>
      <w:r w:rsidRPr="003C243E">
        <w:rPr>
          <w:szCs w:val="20"/>
          <w:lang w:val="de-DE"/>
        </w:rPr>
        <w:t>der islamistische</w:t>
      </w:r>
      <w:r w:rsidR="00ED77ED" w:rsidRPr="003C243E">
        <w:rPr>
          <w:szCs w:val="20"/>
          <w:lang w:val="de-DE"/>
        </w:rPr>
        <w:t>n</w:t>
      </w:r>
      <w:r w:rsidRPr="003C243E">
        <w:rPr>
          <w:szCs w:val="20"/>
          <w:lang w:val="de-DE"/>
        </w:rPr>
        <w:t xml:space="preserve"> Partei </w:t>
      </w:r>
      <w:r w:rsidR="00DB6FAB" w:rsidRPr="003C243E">
        <w:rPr>
          <w:szCs w:val="20"/>
          <w:lang w:val="de-DE"/>
        </w:rPr>
        <w:t xml:space="preserve">in </w:t>
      </w:r>
      <w:r w:rsidRPr="003C243E">
        <w:rPr>
          <w:szCs w:val="20"/>
          <w:lang w:val="de-DE"/>
        </w:rPr>
        <w:t>der Türkei, der AKP (Partei für Gerechtigkeit und Aufschwung).</w:t>
      </w:r>
      <w:r w:rsidRPr="003C243E">
        <w:rPr>
          <w:color w:val="FF0000"/>
          <w:szCs w:val="20"/>
          <w:lang w:val="de-DE"/>
        </w:rPr>
        <w:t xml:space="preserve"> </w:t>
      </w:r>
      <w:r w:rsidRPr="003C243E">
        <w:rPr>
          <w:szCs w:val="20"/>
          <w:lang w:val="de-DE"/>
        </w:rPr>
        <w:t>Şenocak bringt diesen Optimismus zum Ausdruck im Essay „Mein Vater – ein türkischer Lebenslauf“ (2005), in dem er Rosa Luxembourg paraphrasiert:</w:t>
      </w:r>
    </w:p>
    <w:p w14:paraId="4C2D2855" w14:textId="77777777" w:rsidR="00CF6C7C" w:rsidRPr="003C243E" w:rsidRDefault="00CF6C7C" w:rsidP="003E2EC7">
      <w:pPr>
        <w:pStyle w:val="KnigZitate"/>
        <w:rPr>
          <w:lang w:val="de-DE"/>
        </w:rPr>
      </w:pPr>
      <w:r w:rsidRPr="003C243E">
        <w:rPr>
          <w:lang w:val="de-DE"/>
        </w:rPr>
        <w:t>Die Freiheit kann nichts anderes sein als die Freiheit des Andersdenkenden [...]. Diese elementare Botschaft scheint jedoch inzwischen bei der Mehrheit der türkischen Bevölkerung angekommen zu sein, vor allem bei der jungen Generation von muslimischen Politikern.</w:t>
      </w:r>
      <w:r w:rsidRPr="003C243E">
        <w:rPr>
          <w:rStyle w:val="FootnoteReference"/>
          <w:sz w:val="20"/>
          <w:szCs w:val="20"/>
          <w:lang w:val="de-DE"/>
        </w:rPr>
        <w:footnoteReference w:id="45"/>
      </w:r>
    </w:p>
    <w:p w14:paraId="7B7114D3" w14:textId="396E3DBF" w:rsidR="00CF6C7C" w:rsidRPr="003C243E" w:rsidRDefault="00CF6C7C" w:rsidP="003E2EC7">
      <w:pPr>
        <w:pStyle w:val="KnigNeu"/>
        <w:ind w:firstLine="0"/>
        <w:rPr>
          <w:szCs w:val="20"/>
          <w:lang w:val="de-DE"/>
        </w:rPr>
      </w:pPr>
      <w:r w:rsidRPr="003C243E">
        <w:rPr>
          <w:szCs w:val="20"/>
          <w:lang w:val="de-DE"/>
        </w:rPr>
        <w:t xml:space="preserve">Dennoch wird die Neubelebung der islamischen Kultur im </w:t>
      </w:r>
      <w:r w:rsidR="006545C3" w:rsidRPr="003C243E">
        <w:rPr>
          <w:szCs w:val="20"/>
          <w:lang w:val="de-DE"/>
        </w:rPr>
        <w:t xml:space="preserve">Gedicht </w:t>
      </w:r>
      <w:r w:rsidR="00DB6FAB" w:rsidRPr="003C243E">
        <w:rPr>
          <w:szCs w:val="20"/>
          <w:lang w:val="de-DE"/>
        </w:rPr>
        <w:t xml:space="preserve">in der </w:t>
      </w:r>
      <w:r w:rsidRPr="003C243E">
        <w:rPr>
          <w:szCs w:val="20"/>
          <w:lang w:val="de-DE"/>
        </w:rPr>
        <w:t>letzten Strophe problematisiert:</w:t>
      </w:r>
    </w:p>
    <w:p w14:paraId="3C38DB96" w14:textId="77777777" w:rsidR="003E2EC7" w:rsidRPr="003C243E" w:rsidRDefault="003E2EC7" w:rsidP="003E2EC7">
      <w:pPr>
        <w:pStyle w:val="KnigNeu"/>
        <w:ind w:firstLine="0"/>
        <w:rPr>
          <w:szCs w:val="20"/>
          <w:lang w:val="de-DE"/>
        </w:rPr>
      </w:pPr>
    </w:p>
    <w:p w14:paraId="6C4CE9EC" w14:textId="77777777" w:rsidR="00CF6C7C" w:rsidRPr="003C243E" w:rsidRDefault="00CF6C7C" w:rsidP="003E2EC7">
      <w:pPr>
        <w:pStyle w:val="KnigGedichte"/>
        <w:rPr>
          <w:lang w:val="de-DE"/>
        </w:rPr>
      </w:pPr>
      <w:r w:rsidRPr="003C243E">
        <w:rPr>
          <w:lang w:val="de-DE"/>
        </w:rPr>
        <w:t>alle Irrfahrer horchen in die Ferne</w:t>
      </w:r>
    </w:p>
    <w:p w14:paraId="5DB6FA2B" w14:textId="77777777" w:rsidR="00CF6C7C" w:rsidRPr="003C243E" w:rsidRDefault="00CF6C7C" w:rsidP="003E2EC7">
      <w:pPr>
        <w:pStyle w:val="KnigGedichte"/>
        <w:rPr>
          <w:lang w:val="de-DE"/>
        </w:rPr>
      </w:pPr>
      <w:r w:rsidRPr="003C243E">
        <w:rPr>
          <w:lang w:val="de-DE"/>
        </w:rPr>
        <w:t>während der Staub der Verwüstung vor ihren Augen flimmert</w:t>
      </w:r>
    </w:p>
    <w:p w14:paraId="4FA83224" w14:textId="77777777" w:rsidR="00CF6C7C" w:rsidRPr="003C243E" w:rsidRDefault="00CF6C7C" w:rsidP="003E2EC7">
      <w:pPr>
        <w:pStyle w:val="KnigGedichte"/>
        <w:rPr>
          <w:lang w:val="de-DE"/>
        </w:rPr>
      </w:pPr>
      <w:r w:rsidRPr="003C243E">
        <w:rPr>
          <w:lang w:val="de-DE"/>
        </w:rPr>
        <w:t>und der Prophet in seinem Sandkasten</w:t>
      </w:r>
    </w:p>
    <w:p w14:paraId="029865D9" w14:textId="77777777" w:rsidR="00CF6C7C" w:rsidRPr="003C243E" w:rsidRDefault="00CF6C7C" w:rsidP="003E2EC7">
      <w:pPr>
        <w:pStyle w:val="KnigGedichte"/>
        <w:rPr>
          <w:lang w:val="de-DE"/>
        </w:rPr>
      </w:pPr>
      <w:r w:rsidRPr="003C243E">
        <w:rPr>
          <w:lang w:val="de-DE"/>
        </w:rPr>
        <w:t>nach dem versunkenen Zeitalter der Kindheit gräbt</w:t>
      </w:r>
    </w:p>
    <w:p w14:paraId="2B87F659" w14:textId="77777777" w:rsidR="003E2EC7" w:rsidRPr="003C243E" w:rsidRDefault="003E2EC7" w:rsidP="00CF6C7C">
      <w:pPr>
        <w:pStyle w:val="KnigNeu"/>
        <w:rPr>
          <w:szCs w:val="20"/>
          <w:lang w:val="de-DE"/>
        </w:rPr>
      </w:pPr>
    </w:p>
    <w:p w14:paraId="6B971EE1" w14:textId="3E45712F" w:rsidR="00CF6C7C" w:rsidRPr="003C243E" w:rsidRDefault="00CF6C7C" w:rsidP="00AE3017">
      <w:pPr>
        <w:pStyle w:val="KnigNeu"/>
        <w:ind w:firstLine="0"/>
        <w:rPr>
          <w:szCs w:val="20"/>
          <w:lang w:val="de-DE"/>
        </w:rPr>
      </w:pPr>
      <w:r w:rsidRPr="003C243E">
        <w:rPr>
          <w:szCs w:val="20"/>
          <w:lang w:val="de-DE"/>
        </w:rPr>
        <w:t xml:space="preserve">Dieses Gedicht plädiert </w:t>
      </w:r>
      <w:r w:rsidR="00DB6FAB" w:rsidRPr="003C243E">
        <w:rPr>
          <w:szCs w:val="20"/>
          <w:lang w:val="de-DE"/>
        </w:rPr>
        <w:t xml:space="preserve">über </w:t>
      </w:r>
      <w:r w:rsidRPr="003C243E">
        <w:rPr>
          <w:szCs w:val="20"/>
          <w:lang w:val="de-DE"/>
        </w:rPr>
        <w:t>die Metaphorik der Kindheit für das Wiederentdecken der islamischen Vergangenheit, die in der Türkei wegen des säkularen Kemalismus vielen unbekannt bleibt</w:t>
      </w:r>
      <w:r w:rsidR="00236419" w:rsidRPr="003C243E">
        <w:rPr>
          <w:szCs w:val="20"/>
          <w:lang w:val="de-DE"/>
        </w:rPr>
        <w:t>. D</w:t>
      </w:r>
      <w:r w:rsidRPr="003C243E">
        <w:rPr>
          <w:szCs w:val="20"/>
          <w:lang w:val="de-DE"/>
        </w:rPr>
        <w:t xml:space="preserve">ie Kindheit </w:t>
      </w:r>
      <w:r w:rsidR="00236419" w:rsidRPr="003C243E">
        <w:rPr>
          <w:szCs w:val="20"/>
          <w:lang w:val="de-DE"/>
        </w:rPr>
        <w:t xml:space="preserve">ist aber nicht nur </w:t>
      </w:r>
      <w:r w:rsidRPr="003C243E">
        <w:rPr>
          <w:szCs w:val="20"/>
          <w:lang w:val="de-DE"/>
        </w:rPr>
        <w:t>positiv als der Ambiguität tolerierende Frühislam zu deuten, der sich selbst weniger streng in Konkurrenz mit anderen Religionen sah</w:t>
      </w:r>
      <w:r w:rsidR="00E260F1" w:rsidRPr="003C243E">
        <w:rPr>
          <w:szCs w:val="20"/>
          <w:lang w:val="de-DE"/>
        </w:rPr>
        <w:t>, sondern sie evoziert auch die Nostalgie für diese oft idealisierte Epoche</w:t>
      </w:r>
      <w:r w:rsidR="003E2479" w:rsidRPr="003C243E">
        <w:rPr>
          <w:szCs w:val="20"/>
          <w:lang w:val="de-DE"/>
        </w:rPr>
        <w:t>.</w:t>
      </w:r>
      <w:r w:rsidR="00DB6FAB" w:rsidRPr="003C243E">
        <w:rPr>
          <w:szCs w:val="20"/>
          <w:lang w:val="de-DE"/>
        </w:rPr>
        <w:t xml:space="preserve"> </w:t>
      </w:r>
      <w:r w:rsidRPr="003C243E">
        <w:rPr>
          <w:szCs w:val="20"/>
          <w:lang w:val="de-DE"/>
        </w:rPr>
        <w:t>Das Gedicht</w:t>
      </w:r>
      <w:r w:rsidR="00EB287C" w:rsidRPr="003C243E">
        <w:rPr>
          <w:szCs w:val="20"/>
          <w:lang w:val="de-DE"/>
        </w:rPr>
        <w:t xml:space="preserve"> plädiert dafür</w:t>
      </w:r>
      <w:r w:rsidRPr="003C243E">
        <w:rPr>
          <w:szCs w:val="20"/>
          <w:lang w:val="de-DE"/>
        </w:rPr>
        <w:t xml:space="preserve">, Aspekte des </w:t>
      </w:r>
      <w:r w:rsidRPr="003C243E">
        <w:rPr>
          <w:szCs w:val="20"/>
          <w:lang w:val="de-DE"/>
        </w:rPr>
        <w:lastRenderedPageBreak/>
        <w:t>sufistischen Kulturerbes schöp</w:t>
      </w:r>
      <w:r w:rsidR="006545C3" w:rsidRPr="003C243E">
        <w:rPr>
          <w:szCs w:val="20"/>
          <w:lang w:val="de-DE"/>
        </w:rPr>
        <w:t xml:space="preserve">ferisch </w:t>
      </w:r>
      <w:r w:rsidR="00EB287C" w:rsidRPr="003C243E">
        <w:rPr>
          <w:szCs w:val="20"/>
          <w:lang w:val="de-DE"/>
        </w:rPr>
        <w:t>aufzugreifen</w:t>
      </w:r>
      <w:r w:rsidRPr="003C243E">
        <w:rPr>
          <w:szCs w:val="20"/>
          <w:lang w:val="de-DE"/>
        </w:rPr>
        <w:t xml:space="preserve">, um den Islam für heute neuzuübersetzen, genauso wie andere Gedichte historische Situationen in neue Zusammenhänge bringen. Man sollte aber diese Wiederentdeckung nicht als eine identitätstiftende Geste deuten, denn Şenocak befürwortet sie, um </w:t>
      </w:r>
      <w:r w:rsidR="00EB287C" w:rsidRPr="003C243E">
        <w:rPr>
          <w:szCs w:val="20"/>
          <w:lang w:val="de-DE"/>
        </w:rPr>
        <w:t xml:space="preserve">das </w:t>
      </w:r>
      <w:r w:rsidRPr="003C243E">
        <w:rPr>
          <w:szCs w:val="20"/>
          <w:lang w:val="de-DE"/>
        </w:rPr>
        <w:t>vergessene Erbe neuzuformen</w:t>
      </w:r>
      <w:r w:rsidR="00EB287C" w:rsidRPr="003C243E">
        <w:rPr>
          <w:szCs w:val="20"/>
          <w:lang w:val="de-DE"/>
        </w:rPr>
        <w:t>,</w:t>
      </w:r>
      <w:r w:rsidRPr="003C243E">
        <w:rPr>
          <w:szCs w:val="20"/>
          <w:lang w:val="de-DE"/>
        </w:rPr>
        <w:t xml:space="preserve"> und nicht</w:t>
      </w:r>
      <w:r w:rsidR="00EB287C" w:rsidRPr="003C243E">
        <w:rPr>
          <w:szCs w:val="20"/>
          <w:lang w:val="de-DE"/>
        </w:rPr>
        <w:t>,</w:t>
      </w:r>
      <w:r w:rsidRPr="003C243E">
        <w:rPr>
          <w:szCs w:val="20"/>
          <w:lang w:val="de-DE"/>
        </w:rPr>
        <w:t xml:space="preserve"> um </w:t>
      </w:r>
      <w:r w:rsidR="00D06A20" w:rsidRPr="003C243E">
        <w:rPr>
          <w:szCs w:val="20"/>
          <w:lang w:val="de-DE"/>
        </w:rPr>
        <w:t xml:space="preserve">es in </w:t>
      </w:r>
      <w:r w:rsidRPr="003C243E">
        <w:rPr>
          <w:szCs w:val="20"/>
          <w:lang w:val="de-DE"/>
        </w:rPr>
        <w:t>Orthodoxie erstarren zu lassen – wie es im Gedicht</w:t>
      </w:r>
      <w:r w:rsidR="00D06A20" w:rsidRPr="003C243E">
        <w:rPr>
          <w:szCs w:val="20"/>
          <w:lang w:val="de-DE"/>
        </w:rPr>
        <w:t xml:space="preserve"> V </w:t>
      </w:r>
      <w:r w:rsidR="00E260F1" w:rsidRPr="003C243E">
        <w:rPr>
          <w:color w:val="000000" w:themeColor="text1"/>
          <w:szCs w:val="20"/>
          <w:lang w:val="de-DE"/>
        </w:rPr>
        <w:t xml:space="preserve"> aus „Vor </w:t>
      </w:r>
      <w:r w:rsidR="00E260F1" w:rsidRPr="003C243E">
        <w:rPr>
          <w:szCs w:val="20"/>
          <w:lang w:val="de-DE"/>
        </w:rPr>
        <w:t xml:space="preserve">der Festung“ </w:t>
      </w:r>
      <w:r w:rsidR="00EB287C" w:rsidRPr="003C243E">
        <w:rPr>
          <w:szCs w:val="20"/>
          <w:lang w:val="de-DE"/>
        </w:rPr>
        <w:t>heißt</w:t>
      </w:r>
      <w:r w:rsidRPr="003C243E">
        <w:rPr>
          <w:szCs w:val="20"/>
          <w:lang w:val="de-DE"/>
        </w:rPr>
        <w:t>: „die Wüste ist kein Museum für versunkene Zivilisationen“.</w:t>
      </w:r>
    </w:p>
    <w:p w14:paraId="524BEFE8" w14:textId="0913E82D" w:rsidR="00CF6C7C" w:rsidRPr="003C243E" w:rsidRDefault="00CF6C7C" w:rsidP="00BB2AF4">
      <w:pPr>
        <w:pStyle w:val="KnigNeu"/>
        <w:rPr>
          <w:szCs w:val="20"/>
          <w:lang w:val="de-DE"/>
        </w:rPr>
      </w:pPr>
      <w:r w:rsidRPr="003C243E">
        <w:rPr>
          <w:szCs w:val="20"/>
          <w:lang w:val="de-DE"/>
        </w:rPr>
        <w:t xml:space="preserve">Neben den Klagen </w:t>
      </w:r>
      <w:r w:rsidR="00EB287C" w:rsidRPr="003C243E">
        <w:rPr>
          <w:szCs w:val="20"/>
          <w:lang w:val="de-DE"/>
        </w:rPr>
        <w:t xml:space="preserve">über </w:t>
      </w:r>
      <w:r w:rsidRPr="003C243E">
        <w:rPr>
          <w:szCs w:val="20"/>
          <w:lang w:val="de-DE"/>
        </w:rPr>
        <w:t xml:space="preserve">die verlorenen Sufiüberlieferungen in </w:t>
      </w:r>
      <w:r w:rsidRPr="003C243E">
        <w:rPr>
          <w:i/>
          <w:szCs w:val="20"/>
          <w:lang w:val="de-DE"/>
        </w:rPr>
        <w:t>Übergang</w:t>
      </w:r>
      <w:r w:rsidRPr="003C243E">
        <w:rPr>
          <w:szCs w:val="20"/>
          <w:lang w:val="de-DE"/>
        </w:rPr>
        <w:t xml:space="preserve"> findet man auch Beispiele </w:t>
      </w:r>
      <w:r w:rsidR="00EA5DED" w:rsidRPr="003C243E">
        <w:rPr>
          <w:szCs w:val="20"/>
          <w:lang w:val="de-DE"/>
        </w:rPr>
        <w:t xml:space="preserve">für </w:t>
      </w:r>
      <w:r w:rsidRPr="003C243E">
        <w:rPr>
          <w:szCs w:val="20"/>
          <w:lang w:val="de-DE"/>
        </w:rPr>
        <w:t>d</w:t>
      </w:r>
      <w:r w:rsidR="00EA5DED" w:rsidRPr="003C243E">
        <w:rPr>
          <w:szCs w:val="20"/>
          <w:lang w:val="de-DE"/>
        </w:rPr>
        <w:t>ie</w:t>
      </w:r>
      <w:r w:rsidRPr="003C243E">
        <w:rPr>
          <w:szCs w:val="20"/>
          <w:lang w:val="de-DE"/>
        </w:rPr>
        <w:t xml:space="preserve"> kreative Übersetzung der frühislamischen Kultur. </w:t>
      </w:r>
      <w:r w:rsidR="00434D10" w:rsidRPr="003C243E">
        <w:rPr>
          <w:szCs w:val="20"/>
          <w:lang w:val="de-DE"/>
        </w:rPr>
        <w:t xml:space="preserve">So pflegt </w:t>
      </w:r>
      <w:r w:rsidR="003E2EC7" w:rsidRPr="003C243E">
        <w:rPr>
          <w:szCs w:val="20"/>
          <w:lang w:val="de-DE"/>
        </w:rPr>
        <w:t xml:space="preserve">Gedicht XXIV aus </w:t>
      </w:r>
      <w:r w:rsidR="00E260F1" w:rsidRPr="003C243E">
        <w:rPr>
          <w:szCs w:val="20"/>
          <w:lang w:val="de-DE"/>
        </w:rPr>
        <w:t>„</w:t>
      </w:r>
      <w:r w:rsidR="003E2EC7" w:rsidRPr="003C243E">
        <w:rPr>
          <w:szCs w:val="20"/>
          <w:lang w:val="de-DE"/>
        </w:rPr>
        <w:t>Übergang</w:t>
      </w:r>
      <w:r w:rsidR="00E260F1" w:rsidRPr="003C243E">
        <w:rPr>
          <w:szCs w:val="20"/>
          <w:lang w:val="de-DE"/>
        </w:rPr>
        <w:t>“</w:t>
      </w:r>
      <w:r w:rsidRPr="003C243E">
        <w:rPr>
          <w:rStyle w:val="FootnoteReference"/>
          <w:szCs w:val="20"/>
          <w:lang w:val="de-DE"/>
        </w:rPr>
        <w:footnoteReference w:id="46"/>
      </w:r>
      <w:r w:rsidR="003E2EC7" w:rsidRPr="003C243E">
        <w:rPr>
          <w:szCs w:val="20"/>
          <w:lang w:val="de-DE"/>
        </w:rPr>
        <w:t xml:space="preserve"> </w:t>
      </w:r>
      <w:r w:rsidRPr="003C243E">
        <w:rPr>
          <w:szCs w:val="20"/>
          <w:lang w:val="de-DE"/>
        </w:rPr>
        <w:t>durch die Bildsprache der menschlichen Liebe eine weltliche, b</w:t>
      </w:r>
      <w:r w:rsidR="00434D10" w:rsidRPr="003C243E">
        <w:rPr>
          <w:szCs w:val="20"/>
          <w:lang w:val="de-DE"/>
        </w:rPr>
        <w:t>zw.</w:t>
      </w:r>
      <w:r w:rsidRPr="003C243E">
        <w:rPr>
          <w:szCs w:val="20"/>
          <w:lang w:val="de-DE"/>
        </w:rPr>
        <w:t xml:space="preserve"> immanente Religiosität im Sinne der Sufidichtung und suggeriert dadurch eine Offenheit ebenso zum </w:t>
      </w:r>
      <w:r w:rsidR="00EB287C" w:rsidRPr="003C243E">
        <w:rPr>
          <w:szCs w:val="20"/>
          <w:lang w:val="de-DE"/>
        </w:rPr>
        <w:t>A</w:t>
      </w:r>
      <w:r w:rsidRPr="003C243E">
        <w:rPr>
          <w:szCs w:val="20"/>
          <w:lang w:val="de-DE"/>
        </w:rPr>
        <w:t>nderen wie auch zum Heiligen:</w:t>
      </w:r>
    </w:p>
    <w:p w14:paraId="463F7EFB" w14:textId="77777777" w:rsidR="003E2EC7" w:rsidRPr="003C243E" w:rsidRDefault="003E2EC7" w:rsidP="00CF6C7C">
      <w:pPr>
        <w:pStyle w:val="KnigNeu"/>
        <w:rPr>
          <w:szCs w:val="20"/>
          <w:lang w:val="de-DE"/>
        </w:rPr>
      </w:pPr>
    </w:p>
    <w:p w14:paraId="0CF74C03" w14:textId="77777777" w:rsidR="00CF6C7C" w:rsidRPr="003C243E" w:rsidRDefault="00CF6C7C" w:rsidP="003E2EC7">
      <w:pPr>
        <w:pStyle w:val="KnigGedichte"/>
        <w:rPr>
          <w:lang w:val="de-DE"/>
        </w:rPr>
      </w:pPr>
      <w:r w:rsidRPr="003C243E">
        <w:rPr>
          <w:lang w:val="de-DE"/>
        </w:rPr>
        <w:t>hat jemand mich gehört</w:t>
      </w:r>
    </w:p>
    <w:p w14:paraId="062BC6FD" w14:textId="77777777" w:rsidR="00CF6C7C" w:rsidRPr="003C243E" w:rsidRDefault="00CF6C7C" w:rsidP="003E2EC7">
      <w:pPr>
        <w:pStyle w:val="KnigGedichte"/>
        <w:rPr>
          <w:lang w:val="de-DE"/>
        </w:rPr>
      </w:pPr>
      <w:r w:rsidRPr="003C243E">
        <w:rPr>
          <w:lang w:val="de-DE"/>
        </w:rPr>
        <w:t>in meiner verlassensten Stunde</w:t>
      </w:r>
    </w:p>
    <w:p w14:paraId="587D9EB7" w14:textId="77777777" w:rsidR="00CF6C7C" w:rsidRPr="003C243E" w:rsidRDefault="00CF6C7C" w:rsidP="003E2EC7">
      <w:pPr>
        <w:pStyle w:val="KnigGedichte"/>
        <w:rPr>
          <w:lang w:val="de-DE"/>
        </w:rPr>
      </w:pPr>
      <w:r w:rsidRPr="003C243E">
        <w:rPr>
          <w:lang w:val="de-DE"/>
        </w:rPr>
        <w:t>so soll er bei mir bleiben ewig</w:t>
      </w:r>
    </w:p>
    <w:p w14:paraId="663EC545" w14:textId="77777777" w:rsidR="00CF6C7C" w:rsidRPr="003C243E" w:rsidRDefault="00CF6C7C" w:rsidP="003E2EC7">
      <w:pPr>
        <w:pStyle w:val="KnigGedichte"/>
        <w:rPr>
          <w:lang w:val="de-DE"/>
        </w:rPr>
      </w:pPr>
      <w:r w:rsidRPr="003C243E">
        <w:rPr>
          <w:lang w:val="de-DE"/>
        </w:rPr>
        <w:t>und wollt ich ihn jemals verlassen</w:t>
      </w:r>
    </w:p>
    <w:p w14:paraId="1122CC66" w14:textId="77777777" w:rsidR="00CF6C7C" w:rsidRPr="003C243E" w:rsidRDefault="00CF6C7C" w:rsidP="003E2EC7">
      <w:pPr>
        <w:pStyle w:val="KnigGedichte"/>
        <w:rPr>
          <w:lang w:val="de-DE"/>
        </w:rPr>
      </w:pPr>
      <w:r w:rsidRPr="003C243E">
        <w:rPr>
          <w:lang w:val="de-DE"/>
        </w:rPr>
        <w:t>soll mir versperrt sein der Weg</w:t>
      </w:r>
    </w:p>
    <w:p w14:paraId="7F0820D8" w14:textId="77777777" w:rsidR="00CF6C7C" w:rsidRPr="003C243E" w:rsidRDefault="00CF6C7C" w:rsidP="003E2EC7">
      <w:pPr>
        <w:pStyle w:val="KnigGedichte"/>
        <w:rPr>
          <w:lang w:val="de-DE"/>
        </w:rPr>
      </w:pPr>
      <w:r w:rsidRPr="003C243E">
        <w:rPr>
          <w:lang w:val="de-DE"/>
        </w:rPr>
        <w:t>seinem Verlangen will ich bieten stets ein Heim</w:t>
      </w:r>
    </w:p>
    <w:p w14:paraId="75E0FCB8" w14:textId="77777777" w:rsidR="00CF6C7C" w:rsidRPr="003C243E" w:rsidRDefault="00CF6C7C" w:rsidP="003E2EC7">
      <w:pPr>
        <w:pStyle w:val="KnigGedichte"/>
        <w:rPr>
          <w:lang w:val="de-DE"/>
        </w:rPr>
      </w:pPr>
      <w:r w:rsidRPr="003C243E">
        <w:rPr>
          <w:lang w:val="de-DE"/>
        </w:rPr>
        <w:t>sollt ich jemals ohne Obdach sein</w:t>
      </w:r>
    </w:p>
    <w:p w14:paraId="534C2198" w14:textId="77777777" w:rsidR="00CF6C7C" w:rsidRPr="003C243E" w:rsidRDefault="00CF6C7C" w:rsidP="003E2EC7">
      <w:pPr>
        <w:pStyle w:val="KnigGedichte"/>
        <w:rPr>
          <w:lang w:val="de-DE"/>
        </w:rPr>
      </w:pPr>
      <w:r w:rsidRPr="003C243E">
        <w:rPr>
          <w:lang w:val="de-DE"/>
        </w:rPr>
        <w:t>werd ich mit ihm unter einer Decke warm</w:t>
      </w:r>
    </w:p>
    <w:p w14:paraId="2AB19CB6" w14:textId="77777777" w:rsidR="003E2EC7" w:rsidRPr="003C243E" w:rsidRDefault="003E2EC7" w:rsidP="00CF6C7C">
      <w:pPr>
        <w:pStyle w:val="KnigNeu"/>
        <w:rPr>
          <w:szCs w:val="20"/>
          <w:lang w:val="de-DE"/>
        </w:rPr>
      </w:pPr>
    </w:p>
    <w:p w14:paraId="7AD5B972" w14:textId="7331FDEB" w:rsidR="00CF6C7C" w:rsidRPr="003C243E" w:rsidRDefault="00CF6C7C" w:rsidP="003E2EC7">
      <w:pPr>
        <w:pStyle w:val="KnigNeu"/>
        <w:ind w:firstLine="0"/>
        <w:rPr>
          <w:szCs w:val="20"/>
          <w:lang w:val="de-DE"/>
        </w:rPr>
      </w:pPr>
      <w:r w:rsidRPr="003C243E">
        <w:rPr>
          <w:szCs w:val="20"/>
          <w:lang w:val="de-DE"/>
        </w:rPr>
        <w:t xml:space="preserve">Dieses Gedicht lässt sich </w:t>
      </w:r>
      <w:r w:rsidR="00EB287C" w:rsidRPr="003C243E">
        <w:rPr>
          <w:szCs w:val="20"/>
          <w:lang w:val="de-DE"/>
        </w:rPr>
        <w:t xml:space="preserve">als </w:t>
      </w:r>
      <w:r w:rsidRPr="003C243E">
        <w:rPr>
          <w:szCs w:val="20"/>
          <w:lang w:val="de-DE"/>
        </w:rPr>
        <w:t>Auseinandersetzung Şenocaks mit der homoerotische</w:t>
      </w:r>
      <w:r w:rsidR="00434D10" w:rsidRPr="003C243E">
        <w:rPr>
          <w:szCs w:val="20"/>
          <w:lang w:val="de-DE"/>
        </w:rPr>
        <w:t>n</w:t>
      </w:r>
      <w:r w:rsidRPr="003C243E">
        <w:rPr>
          <w:szCs w:val="20"/>
          <w:lang w:val="de-DE"/>
        </w:rPr>
        <w:t xml:space="preserve"> Symbolik der Sufiliteratur interpretieren, die den Leser an einen toleranten Aspekt des mystischen Islam erinnert. Laut Şenocak ist die homosexuelle Dimension der Sufidichtung besonders wertvoll:</w:t>
      </w:r>
    </w:p>
    <w:p w14:paraId="7438479E" w14:textId="77777777" w:rsidR="00CF6C7C" w:rsidRPr="003C243E" w:rsidRDefault="00CF6C7C" w:rsidP="003E2EC7">
      <w:pPr>
        <w:pStyle w:val="KnigZitate"/>
        <w:rPr>
          <w:lang w:val="de-DE"/>
        </w:rPr>
      </w:pPr>
      <w:r w:rsidRPr="003C243E">
        <w:rPr>
          <w:lang w:val="de-DE"/>
        </w:rPr>
        <w:t>Dabei bleibt vor allem die erotische Komponente der islamischen Kultur fast unangetastet, dort, wo sie vor ein paar Jahrhunderten begraben wurde. Das Spannungsfeld von Homosexualität und Heterosexualität war in der Blütezeit der muslimischen Kultur zwischen dem 8. und 13. Jahrhundert die eigentliche Triebfeder der geistigen Erneuerung.</w:t>
      </w:r>
      <w:r w:rsidRPr="003C243E">
        <w:rPr>
          <w:rStyle w:val="FootnoteReference"/>
          <w:sz w:val="20"/>
          <w:szCs w:val="20"/>
          <w:lang w:val="de-DE"/>
        </w:rPr>
        <w:footnoteReference w:id="47"/>
      </w:r>
    </w:p>
    <w:p w14:paraId="2C021D40" w14:textId="4DFFB9F3" w:rsidR="00CF6C7C" w:rsidRPr="003C243E" w:rsidRDefault="00CF6C7C" w:rsidP="00AE3017">
      <w:pPr>
        <w:pStyle w:val="KnigNeu"/>
        <w:ind w:firstLine="0"/>
        <w:rPr>
          <w:szCs w:val="20"/>
          <w:lang w:val="de-DE"/>
        </w:rPr>
      </w:pPr>
      <w:r w:rsidRPr="003C243E">
        <w:rPr>
          <w:szCs w:val="20"/>
          <w:lang w:val="de-DE"/>
        </w:rPr>
        <w:t xml:space="preserve">Şenocak kommt in diesen Gedichten nochmals auf den Frühislam mit seinen durchlässigeren Grenzen zurück, um Raum für einen Eklektizismus heiliger Quellen zu schaffen. Genauso wie Şenocak uns einlädt, unsere Standpunkt mangels </w:t>
      </w:r>
      <w:r w:rsidRPr="007916D6">
        <w:rPr>
          <w:szCs w:val="20"/>
          <w:lang w:val="de-DE"/>
        </w:rPr>
        <w:t>definierender Andere</w:t>
      </w:r>
      <w:r w:rsidR="00673555" w:rsidRPr="007916D6">
        <w:rPr>
          <w:szCs w:val="20"/>
          <w:lang w:val="de-DE"/>
        </w:rPr>
        <w:t>r</w:t>
      </w:r>
      <w:r w:rsidRPr="003C243E">
        <w:rPr>
          <w:szCs w:val="20"/>
          <w:lang w:val="de-DE"/>
        </w:rPr>
        <w:t xml:space="preserve"> </w:t>
      </w:r>
      <w:r w:rsidR="00E260F1" w:rsidRPr="003C243E">
        <w:rPr>
          <w:szCs w:val="20"/>
          <w:lang w:val="de-DE"/>
        </w:rPr>
        <w:t xml:space="preserve">(wie im Sinne von Jacques Lacan) </w:t>
      </w:r>
      <w:r w:rsidRPr="003C243E">
        <w:rPr>
          <w:szCs w:val="20"/>
          <w:lang w:val="de-DE"/>
        </w:rPr>
        <w:t>zu relativieren, vergegenwärtigt diese Beschäftigung mit dem vormodernen Islam einen Zeitpunkt, in dem der Islam offener war.</w:t>
      </w:r>
    </w:p>
    <w:p w14:paraId="6828E256" w14:textId="11446BAD" w:rsidR="00CF6C7C" w:rsidRPr="003C243E" w:rsidRDefault="00CF6C7C" w:rsidP="00CF6C7C">
      <w:pPr>
        <w:pStyle w:val="KnigNeu"/>
        <w:rPr>
          <w:szCs w:val="20"/>
          <w:lang w:val="de-DE"/>
        </w:rPr>
      </w:pPr>
      <w:r w:rsidRPr="003C243E">
        <w:rPr>
          <w:szCs w:val="20"/>
          <w:lang w:val="de-DE"/>
        </w:rPr>
        <w:lastRenderedPageBreak/>
        <w:t xml:space="preserve">Margaret Littler merkt in ihrer Deleuze’schen Interpretation von Şenocaks Roman </w:t>
      </w:r>
      <w:r w:rsidRPr="003C243E">
        <w:rPr>
          <w:i/>
          <w:szCs w:val="20"/>
          <w:lang w:val="de-DE"/>
        </w:rPr>
        <w:t>Der Pavillon</w:t>
      </w:r>
      <w:r w:rsidRPr="003C243E">
        <w:rPr>
          <w:szCs w:val="20"/>
          <w:lang w:val="de-DE"/>
        </w:rPr>
        <w:t xml:space="preserve"> (2009)</w:t>
      </w:r>
      <w:r w:rsidR="00673555" w:rsidRPr="003C243E">
        <w:rPr>
          <w:szCs w:val="20"/>
          <w:lang w:val="de-DE"/>
        </w:rPr>
        <w:t xml:space="preserve"> an</w:t>
      </w:r>
      <w:r w:rsidRPr="003C243E">
        <w:rPr>
          <w:szCs w:val="20"/>
          <w:lang w:val="de-DE"/>
        </w:rPr>
        <w:t>, dass „die Religion […] in die materielle Wirklichkeit eingebunden [wird], statt im metaphysischen Raum zu schweben“.</w:t>
      </w:r>
      <w:r w:rsidRPr="003C243E">
        <w:rPr>
          <w:rStyle w:val="FootnoteReference"/>
          <w:iCs/>
          <w:color w:val="000000"/>
          <w:szCs w:val="20"/>
          <w:shd w:val="clear" w:color="auto" w:fill="FFFFFF"/>
          <w:lang w:val="de-DE"/>
        </w:rPr>
        <w:footnoteReference w:id="48"/>
      </w:r>
      <w:r w:rsidRPr="003C243E">
        <w:rPr>
          <w:szCs w:val="20"/>
          <w:lang w:val="de-DE"/>
        </w:rPr>
        <w:t xml:space="preserve"> </w:t>
      </w:r>
      <w:r w:rsidR="00673555" w:rsidRPr="003C243E">
        <w:rPr>
          <w:szCs w:val="20"/>
          <w:lang w:val="de-DE"/>
        </w:rPr>
        <w:t xml:space="preserve">Auch </w:t>
      </w:r>
      <w:r w:rsidRPr="003C243E">
        <w:rPr>
          <w:i/>
          <w:szCs w:val="20"/>
          <w:lang w:val="de-DE"/>
        </w:rPr>
        <w:t xml:space="preserve">Übergang </w:t>
      </w:r>
      <w:r w:rsidRPr="003C243E">
        <w:rPr>
          <w:szCs w:val="20"/>
          <w:lang w:val="de-DE"/>
        </w:rPr>
        <w:t xml:space="preserve">wird von einer weltlichen und affektiven Spiritualität durchdrungen, die sich durch Nancys Begriff der Dekonstruktion des Monotheismus erklären lässt. Nancy argumentiert in seinem Essayband </w:t>
      </w:r>
      <w:r w:rsidRPr="003C243E">
        <w:rPr>
          <w:i/>
          <w:szCs w:val="20"/>
          <w:lang w:val="de-DE"/>
        </w:rPr>
        <w:t>Dekonstruktion des Christentums</w:t>
      </w:r>
      <w:r w:rsidRPr="003C243E">
        <w:rPr>
          <w:szCs w:val="20"/>
          <w:lang w:val="de-DE"/>
        </w:rPr>
        <w:t xml:space="preserve"> (2008, französisches Original 2005), dass der Monotheismus, dank seiner strengen Trennung von Gott und </w:t>
      </w:r>
      <w:r w:rsidR="00E260F1" w:rsidRPr="003C243E">
        <w:rPr>
          <w:szCs w:val="20"/>
          <w:lang w:val="de-DE"/>
        </w:rPr>
        <w:t>den Menschen</w:t>
      </w:r>
      <w:r w:rsidRPr="003C243E">
        <w:rPr>
          <w:szCs w:val="20"/>
          <w:lang w:val="de-DE"/>
        </w:rPr>
        <w:t>, „in sich [...] das Prinzip einer Welt ohne Gott birgt“</w:t>
      </w:r>
      <w:r w:rsidRPr="003C243E">
        <w:rPr>
          <w:rStyle w:val="FootnoteReference"/>
          <w:szCs w:val="20"/>
          <w:lang w:val="de-DE"/>
        </w:rPr>
        <w:footnoteReference w:id="49"/>
      </w:r>
      <w:r w:rsidRPr="003C243E">
        <w:rPr>
          <w:szCs w:val="20"/>
          <w:lang w:val="de-DE"/>
        </w:rPr>
        <w:t xml:space="preserve"> und dadurch Anlass zum Atheismus gibt. Der Atheismus harmoniert mit dem monotheistischen Paradigma insofern, als dass atheistische Ideologien lediglich Gott durch eigene Leitbilder ersetzen und </w:t>
      </w:r>
      <w:r w:rsidR="00784DEE" w:rsidRPr="003C243E">
        <w:rPr>
          <w:szCs w:val="20"/>
          <w:lang w:val="de-DE"/>
        </w:rPr>
        <w:t xml:space="preserve">somit </w:t>
      </w:r>
      <w:r w:rsidRPr="003C243E">
        <w:rPr>
          <w:szCs w:val="20"/>
          <w:lang w:val="de-DE"/>
        </w:rPr>
        <w:t xml:space="preserve">neue </w:t>
      </w:r>
      <w:r w:rsidR="00346BAA" w:rsidRPr="003C243E">
        <w:rPr>
          <w:szCs w:val="20"/>
          <w:lang w:val="de-DE"/>
        </w:rPr>
        <w:t xml:space="preserve">Grundlage </w:t>
      </w:r>
      <w:r w:rsidRPr="003C243E">
        <w:rPr>
          <w:szCs w:val="20"/>
          <w:lang w:val="de-DE"/>
        </w:rPr>
        <w:t>schaffen, statt sich mit dem Nichts an de</w:t>
      </w:r>
      <w:r w:rsidR="00E9249A" w:rsidRPr="003C243E">
        <w:rPr>
          <w:szCs w:val="20"/>
          <w:lang w:val="de-DE"/>
        </w:rPr>
        <w:t>n</w:t>
      </w:r>
      <w:r w:rsidRPr="003C243E">
        <w:rPr>
          <w:szCs w:val="20"/>
          <w:lang w:val="de-DE"/>
        </w:rPr>
        <w:t xml:space="preserve"> </w:t>
      </w:r>
      <w:r w:rsidR="00E9249A" w:rsidRPr="003C243E">
        <w:rPr>
          <w:szCs w:val="20"/>
          <w:lang w:val="de-DE"/>
        </w:rPr>
        <w:t>Ursprünge</w:t>
      </w:r>
      <w:r w:rsidR="002B7E89">
        <w:rPr>
          <w:szCs w:val="20"/>
          <w:lang w:val="de-DE"/>
        </w:rPr>
        <w:t>n</w:t>
      </w:r>
      <w:r w:rsidRPr="003C243E">
        <w:rPr>
          <w:szCs w:val="20"/>
          <w:lang w:val="de-DE"/>
        </w:rPr>
        <w:t xml:space="preserve"> der Welt auseinanderzusetzen. Nancy entwickelt eine post-monotheistische Auslegung des Heiligen als eine</w:t>
      </w:r>
      <w:r w:rsidR="001B7C9A" w:rsidRPr="003C243E">
        <w:rPr>
          <w:szCs w:val="20"/>
          <w:lang w:val="de-DE"/>
        </w:rPr>
        <w:t>r</w:t>
      </w:r>
      <w:r w:rsidRPr="003C243E">
        <w:rPr>
          <w:szCs w:val="20"/>
          <w:lang w:val="de-DE"/>
        </w:rPr>
        <w:t xml:space="preserve"> Beziehung zur Alterität an d</w:t>
      </w:r>
      <w:r w:rsidR="00E9249A" w:rsidRPr="003C243E">
        <w:rPr>
          <w:szCs w:val="20"/>
          <w:lang w:val="de-DE"/>
        </w:rPr>
        <w:t>iesen</w:t>
      </w:r>
      <w:r w:rsidRPr="003C243E">
        <w:rPr>
          <w:szCs w:val="20"/>
          <w:lang w:val="de-DE"/>
        </w:rPr>
        <w:t xml:space="preserve"> </w:t>
      </w:r>
      <w:r w:rsidR="00E9249A" w:rsidRPr="003C243E">
        <w:rPr>
          <w:szCs w:val="20"/>
          <w:lang w:val="de-DE"/>
        </w:rPr>
        <w:t xml:space="preserve">unbekannten </w:t>
      </w:r>
      <w:r w:rsidRPr="003C243E">
        <w:rPr>
          <w:szCs w:val="20"/>
          <w:lang w:val="de-DE"/>
        </w:rPr>
        <w:t>Ursprüngen, die Şenocaks Religiosität erhellen kann:</w:t>
      </w:r>
    </w:p>
    <w:p w14:paraId="037FDF07" w14:textId="77777777" w:rsidR="00CF6C7C" w:rsidRPr="003C243E" w:rsidRDefault="00CF6C7C" w:rsidP="003E2EC7">
      <w:pPr>
        <w:pStyle w:val="KnigZitate"/>
        <w:rPr>
          <w:lang w:val="de-DE"/>
        </w:rPr>
      </w:pPr>
      <w:r w:rsidRPr="003C243E">
        <w:rPr>
          <w:lang w:val="de-DE"/>
        </w:rPr>
        <w:t>Trotz des ungeheuren Gewichts der religiösen Repräsentation war die ‚andere Welt‘ oder das ‚andere Reich‘ niemals eine zweite Welt oder eine Hinterwelt, sondern stets das Andere der Welt.</w:t>
      </w:r>
      <w:r w:rsidRPr="003C243E">
        <w:rPr>
          <w:rStyle w:val="FootnoteReference"/>
          <w:sz w:val="20"/>
          <w:szCs w:val="20"/>
          <w:lang w:val="de-DE"/>
        </w:rPr>
        <w:footnoteReference w:id="50"/>
      </w:r>
    </w:p>
    <w:p w14:paraId="01D1C5C7" w14:textId="1BB4F806" w:rsidR="00CF6C7C" w:rsidRPr="003C243E" w:rsidRDefault="00CF6C7C" w:rsidP="00673555">
      <w:pPr>
        <w:pStyle w:val="KnigNeu"/>
        <w:rPr>
          <w:szCs w:val="20"/>
          <w:lang w:val="de-DE"/>
        </w:rPr>
      </w:pPr>
      <w:r w:rsidRPr="003C243E">
        <w:rPr>
          <w:szCs w:val="20"/>
          <w:lang w:val="de-DE"/>
        </w:rPr>
        <w:t xml:space="preserve">Dieser durch die Mystik beeinflusste Begriff des Göttlichen gibt die experimentelle Religiosität von </w:t>
      </w:r>
      <w:r w:rsidRPr="003C243E">
        <w:rPr>
          <w:i/>
          <w:szCs w:val="20"/>
          <w:lang w:val="de-DE"/>
        </w:rPr>
        <w:t>Übergang</w:t>
      </w:r>
      <w:r w:rsidRPr="003C243E">
        <w:rPr>
          <w:szCs w:val="20"/>
          <w:lang w:val="de-DE"/>
        </w:rPr>
        <w:t xml:space="preserve"> wieder, die Gott nicht als Subjekt der Welt und </w:t>
      </w:r>
      <w:r w:rsidR="00673555" w:rsidRPr="003C243E">
        <w:rPr>
          <w:szCs w:val="20"/>
          <w:lang w:val="de-DE"/>
        </w:rPr>
        <w:t xml:space="preserve">das sie </w:t>
      </w:r>
      <w:r w:rsidRPr="003C243E">
        <w:rPr>
          <w:szCs w:val="20"/>
          <w:lang w:val="de-DE"/>
        </w:rPr>
        <w:t>organisierende Prinzip anordnet, sondern sich mit dem flüchtigen</w:t>
      </w:r>
      <w:r w:rsidR="00781B18" w:rsidRPr="003C243E">
        <w:rPr>
          <w:szCs w:val="20"/>
          <w:lang w:val="de-DE"/>
        </w:rPr>
        <w:t>,</w:t>
      </w:r>
      <w:r w:rsidRPr="003C243E">
        <w:rPr>
          <w:szCs w:val="20"/>
          <w:lang w:val="de-DE"/>
        </w:rPr>
        <w:t xml:space="preserve"> </w:t>
      </w:r>
      <w:r w:rsidR="00781B18" w:rsidRPr="003C243E">
        <w:rPr>
          <w:szCs w:val="20"/>
          <w:lang w:val="de-DE"/>
        </w:rPr>
        <w:t xml:space="preserve">in der Andersheit der Welt gefundenen </w:t>
      </w:r>
      <w:r w:rsidRPr="003C243E">
        <w:rPr>
          <w:szCs w:val="20"/>
          <w:lang w:val="de-DE"/>
        </w:rPr>
        <w:t xml:space="preserve">Blick </w:t>
      </w:r>
      <w:r w:rsidR="00781B18" w:rsidRPr="003C243E">
        <w:rPr>
          <w:szCs w:val="20"/>
          <w:lang w:val="de-DE"/>
        </w:rPr>
        <w:t xml:space="preserve">auf den </w:t>
      </w:r>
      <w:r w:rsidRPr="003C243E">
        <w:rPr>
          <w:szCs w:val="20"/>
          <w:lang w:val="de-DE"/>
        </w:rPr>
        <w:t>Heiligen befasst. Diese weltliche, oft durch Erotik geprägte Religiosität Şenocaks hat deswegen ihre Basis nicht in einer institutionalisierten Glaubenslehre, die zu Konflikt führen würde, sondern vielmehr in der Vernetzung von Menschen, die sich durch die Ambiguität der menschlichen und göttlichen Liebe vermitteln lässt.</w:t>
      </w:r>
    </w:p>
    <w:p w14:paraId="679D0C80" w14:textId="43C54E57" w:rsidR="00CF6C7C" w:rsidRPr="003C243E" w:rsidRDefault="00CF6C7C" w:rsidP="00CF6C7C">
      <w:pPr>
        <w:pStyle w:val="KnigNeu"/>
        <w:rPr>
          <w:szCs w:val="20"/>
          <w:lang w:val="de-DE"/>
        </w:rPr>
      </w:pPr>
      <w:r w:rsidRPr="003C243E">
        <w:rPr>
          <w:szCs w:val="20"/>
          <w:lang w:val="de-DE"/>
        </w:rPr>
        <w:t>Diese postmoderne, post-monotheistische Religiosität erhält die Immanenz der Welt und führt deshalb nicht zu festen</w:t>
      </w:r>
      <w:r w:rsidR="008025E4" w:rsidRPr="003C243E">
        <w:rPr>
          <w:szCs w:val="20"/>
          <w:lang w:val="de-DE"/>
        </w:rPr>
        <w:t>,</w:t>
      </w:r>
      <w:r w:rsidRPr="003C243E">
        <w:rPr>
          <w:szCs w:val="20"/>
          <w:lang w:val="de-DE"/>
        </w:rPr>
        <w:t xml:space="preserve"> in idealen Welten gegründeten Identitäten und Ideologien. </w:t>
      </w:r>
      <w:r w:rsidR="008025E4" w:rsidRPr="003C243E">
        <w:rPr>
          <w:szCs w:val="20"/>
          <w:lang w:val="de-DE"/>
        </w:rPr>
        <w:t>Analog</w:t>
      </w:r>
      <w:r w:rsidRPr="003C243E">
        <w:rPr>
          <w:szCs w:val="20"/>
          <w:lang w:val="de-DE"/>
        </w:rPr>
        <w:t xml:space="preserve"> </w:t>
      </w:r>
      <w:r w:rsidR="008025E4" w:rsidRPr="003C243E">
        <w:rPr>
          <w:szCs w:val="20"/>
          <w:lang w:val="de-DE"/>
        </w:rPr>
        <w:t xml:space="preserve">zu seiner Vorstellung von Kultur, die sich über die Repräsentation hinausbewegt, </w:t>
      </w:r>
      <w:r w:rsidRPr="003C243E">
        <w:rPr>
          <w:szCs w:val="20"/>
          <w:lang w:val="de-DE"/>
        </w:rPr>
        <w:t>schafft die antifundamentalistische Philosophie Nancys auch Raum für eine undarstellbare Religiosität. Diese Auffassung einer post-monotheistischen Religiosität muss aber nicht als umfassender Ersatz des Monotheismus betrachtet werden. Sie ist eher ein alternatives</w:t>
      </w:r>
      <w:r w:rsidR="00E80ED4" w:rsidRPr="003C243E">
        <w:rPr>
          <w:szCs w:val="20"/>
          <w:lang w:val="de-DE"/>
        </w:rPr>
        <w:t>,</w:t>
      </w:r>
      <w:r w:rsidRPr="003C243E">
        <w:rPr>
          <w:szCs w:val="20"/>
          <w:lang w:val="de-DE"/>
        </w:rPr>
        <w:t xml:space="preserve"> aus </w:t>
      </w:r>
      <w:r w:rsidRPr="003C243E">
        <w:rPr>
          <w:szCs w:val="20"/>
          <w:lang w:val="de-DE"/>
        </w:rPr>
        <w:lastRenderedPageBreak/>
        <w:t>dem Monotheismus selbst stammendes Konzept, das sich zwar über den Monotheismus hinausbewegt, aber auch neben ihm koexistiert:</w:t>
      </w:r>
    </w:p>
    <w:p w14:paraId="0EF586F6" w14:textId="089BBF39" w:rsidR="00CF6C7C" w:rsidRPr="003C243E" w:rsidRDefault="00CF6C7C" w:rsidP="003E2EC7">
      <w:pPr>
        <w:pStyle w:val="KnigZitate"/>
        <w:rPr>
          <w:lang w:val="de-DE"/>
        </w:rPr>
      </w:pPr>
      <w:r w:rsidRPr="003C243E">
        <w:rPr>
          <w:lang w:val="de-DE"/>
        </w:rPr>
        <w:t>Die Heiligkeit lässt sich weder determinieren noch repräsentieren noch vorschreiben. Sie öffnet dem Menschen oder im Menschen (es sei denn, man müsste sagen: Sie öffnet der Welt oder in der Welt, nicht für den Menschen allein) die Dimension und die Bewegung oder die Geste eines ‚sich unendlich übersteigen‘ [</w:t>
      </w:r>
      <w:r w:rsidR="00E9249A" w:rsidRPr="003C243E">
        <w:rPr>
          <w:i/>
          <w:lang w:val="de-DE"/>
        </w:rPr>
        <w:t>se passer infiniment</w:t>
      </w:r>
      <w:r w:rsidRPr="003C243E">
        <w:rPr>
          <w:lang w:val="de-DE"/>
        </w:rPr>
        <w:t>].</w:t>
      </w:r>
      <w:r w:rsidRPr="003C243E">
        <w:rPr>
          <w:rStyle w:val="FootnoteReference"/>
          <w:sz w:val="20"/>
          <w:szCs w:val="20"/>
          <w:lang w:val="de-DE"/>
        </w:rPr>
        <w:footnoteReference w:id="51"/>
      </w:r>
    </w:p>
    <w:p w14:paraId="560321F7" w14:textId="3FE90993" w:rsidR="00CF6C7C" w:rsidRPr="003C243E" w:rsidRDefault="00CF6C7C" w:rsidP="00E80ED4">
      <w:pPr>
        <w:pStyle w:val="KnigNeu"/>
        <w:rPr>
          <w:szCs w:val="20"/>
          <w:lang w:val="de-DE"/>
        </w:rPr>
      </w:pPr>
      <w:r w:rsidRPr="003C243E">
        <w:rPr>
          <w:szCs w:val="20"/>
          <w:lang w:val="de-DE"/>
        </w:rPr>
        <w:t>Diese Religiosität w</w:t>
      </w:r>
      <w:r w:rsidR="00E80ED4" w:rsidRPr="003C243E">
        <w:rPr>
          <w:szCs w:val="20"/>
          <w:lang w:val="de-DE"/>
        </w:rPr>
        <w:t>ä</w:t>
      </w:r>
      <w:r w:rsidRPr="003C243E">
        <w:rPr>
          <w:szCs w:val="20"/>
          <w:lang w:val="de-DE"/>
        </w:rPr>
        <w:t xml:space="preserve">chst deshalb aus der subjektiven Offenheit heraus, ohne ein festes Fundament im Anderen zu finden. </w:t>
      </w:r>
      <w:r w:rsidRPr="003C243E">
        <w:rPr>
          <w:i/>
          <w:szCs w:val="20"/>
          <w:lang w:val="de-DE"/>
        </w:rPr>
        <w:t xml:space="preserve">Übergang </w:t>
      </w:r>
      <w:r w:rsidRPr="003C243E">
        <w:rPr>
          <w:szCs w:val="20"/>
          <w:lang w:val="de-DE"/>
        </w:rPr>
        <w:t xml:space="preserve">vermittelt in dieser Hinsicht den Eindruck einer Religiosität als Offenheit zur Andersheit der Welt, genauso wie Şenocak auch für eine negative Hermeneutik plädiert, die für die Alterität des Anderen offen bleibt. In dieser Hinsicht suggeriert </w:t>
      </w:r>
      <w:r w:rsidRPr="003C243E">
        <w:rPr>
          <w:i/>
          <w:szCs w:val="20"/>
          <w:lang w:val="de-DE"/>
        </w:rPr>
        <w:t>Übergang</w:t>
      </w:r>
      <w:r w:rsidRPr="003C243E">
        <w:rPr>
          <w:szCs w:val="20"/>
          <w:lang w:val="de-DE"/>
        </w:rPr>
        <w:t>, trotz seiner Religiosität, eine im Sinne Nancys immanente, bzw. geschlossene Welt, deren Sinn nicht von außen, sondern von der verlorenen subjektiven Immanenz, nämlich vo</w:t>
      </w:r>
      <w:r w:rsidR="00E80ED4" w:rsidRPr="003C243E">
        <w:rPr>
          <w:szCs w:val="20"/>
          <w:lang w:val="de-DE"/>
        </w:rPr>
        <w:t>n</w:t>
      </w:r>
      <w:r w:rsidRPr="003C243E">
        <w:rPr>
          <w:szCs w:val="20"/>
          <w:lang w:val="de-DE"/>
        </w:rPr>
        <w:t xml:space="preserve"> der radikalen Offenheit ihrer Einwohner kommt. Dieser Denkansatz, so würde ich argumentieren, ist </w:t>
      </w:r>
      <w:r w:rsidR="00E80ED4" w:rsidRPr="003C243E">
        <w:rPr>
          <w:szCs w:val="20"/>
          <w:lang w:val="de-DE"/>
        </w:rPr>
        <w:t xml:space="preserve">in </w:t>
      </w:r>
      <w:r w:rsidRPr="003C243E">
        <w:rPr>
          <w:szCs w:val="20"/>
          <w:lang w:val="de-DE"/>
        </w:rPr>
        <w:t>den heutigen Debatten über den Islam in Deutschland von zentraler Bedeutung, da er das dualistische identitätsfundierte Denken des so</w:t>
      </w:r>
      <w:r w:rsidR="00965E47" w:rsidRPr="003C243E">
        <w:rPr>
          <w:szCs w:val="20"/>
          <w:lang w:val="de-DE"/>
        </w:rPr>
        <w:t xml:space="preserve"> </w:t>
      </w:r>
      <w:r w:rsidRPr="003C243E">
        <w:rPr>
          <w:szCs w:val="20"/>
          <w:lang w:val="de-DE"/>
        </w:rPr>
        <w:t>genannten „Kampf der Kulturen“ in Frage stellt.</w:t>
      </w:r>
    </w:p>
    <w:p w14:paraId="513AE38F" w14:textId="5BB033B1" w:rsidR="00CF6C7C" w:rsidRPr="003C243E" w:rsidRDefault="00CF6C7C" w:rsidP="00CF6C7C">
      <w:pPr>
        <w:pStyle w:val="KnigNeu"/>
        <w:rPr>
          <w:szCs w:val="20"/>
          <w:lang w:val="de-DE"/>
        </w:rPr>
      </w:pPr>
      <w:r w:rsidRPr="003C243E">
        <w:rPr>
          <w:szCs w:val="20"/>
          <w:lang w:val="de-DE"/>
        </w:rPr>
        <w:t xml:space="preserve">Wie in Şenocaks Essays verschwimmen die Grenzen zwischen menschlicher und göttlicher Liebe in Gedicht V </w:t>
      </w:r>
      <w:r w:rsidR="00E80ED4" w:rsidRPr="003C243E">
        <w:rPr>
          <w:szCs w:val="20"/>
          <w:lang w:val="de-DE"/>
        </w:rPr>
        <w:t>in</w:t>
      </w:r>
      <w:r w:rsidR="006545C3" w:rsidRPr="003C243E">
        <w:rPr>
          <w:szCs w:val="20"/>
          <w:lang w:val="de-DE"/>
        </w:rPr>
        <w:t xml:space="preserve"> „</w:t>
      </w:r>
      <w:r w:rsidRPr="003C243E">
        <w:rPr>
          <w:szCs w:val="20"/>
          <w:lang w:val="de-DE"/>
        </w:rPr>
        <w:t>Übergang</w:t>
      </w:r>
      <w:r w:rsidR="006545C3" w:rsidRPr="003C243E">
        <w:rPr>
          <w:szCs w:val="20"/>
          <w:lang w:val="de-DE"/>
        </w:rPr>
        <w:t>“</w:t>
      </w:r>
      <w:r w:rsidRPr="003C243E">
        <w:rPr>
          <w:szCs w:val="20"/>
          <w:lang w:val="de-DE"/>
        </w:rPr>
        <w:t>,</w:t>
      </w:r>
      <w:r w:rsidRPr="003C243E">
        <w:rPr>
          <w:rStyle w:val="FootnoteReference"/>
          <w:szCs w:val="20"/>
          <w:lang w:val="de-DE"/>
        </w:rPr>
        <w:footnoteReference w:id="52"/>
      </w:r>
      <w:r w:rsidRPr="003C243E">
        <w:rPr>
          <w:szCs w:val="20"/>
          <w:lang w:val="de-DE"/>
        </w:rPr>
        <w:t xml:space="preserve"> wenngleich in einem gegenwärtigen Umfeld:</w:t>
      </w:r>
    </w:p>
    <w:p w14:paraId="5B38D531" w14:textId="77777777" w:rsidR="003E2EC7" w:rsidRPr="003C243E" w:rsidRDefault="003E2EC7" w:rsidP="00CF6C7C">
      <w:pPr>
        <w:pStyle w:val="KnigNeu"/>
        <w:rPr>
          <w:szCs w:val="20"/>
          <w:lang w:val="de-DE"/>
        </w:rPr>
      </w:pPr>
    </w:p>
    <w:p w14:paraId="2E579663" w14:textId="77777777" w:rsidR="00CF6C7C" w:rsidRPr="003C243E" w:rsidRDefault="00CF6C7C" w:rsidP="003E2EC7">
      <w:pPr>
        <w:pStyle w:val="KnigGedichte"/>
        <w:rPr>
          <w:lang w:val="de-DE"/>
        </w:rPr>
      </w:pPr>
      <w:r w:rsidRPr="003C243E">
        <w:rPr>
          <w:lang w:val="de-DE"/>
        </w:rPr>
        <w:t>ich sammle auf deine hie und da abgelegten Kleider</w:t>
      </w:r>
    </w:p>
    <w:p w14:paraId="713128C8" w14:textId="77777777" w:rsidR="00CF6C7C" w:rsidRPr="003C243E" w:rsidRDefault="00CF6C7C" w:rsidP="003E2EC7">
      <w:pPr>
        <w:pStyle w:val="KnigGedichte"/>
        <w:rPr>
          <w:lang w:val="de-DE"/>
        </w:rPr>
      </w:pPr>
      <w:r w:rsidRPr="003C243E">
        <w:rPr>
          <w:lang w:val="de-DE"/>
        </w:rPr>
        <w:t>sehe deinen entblößten Körper vor mir um einen Pfahl kreisen</w:t>
      </w:r>
    </w:p>
    <w:p w14:paraId="05F6722D" w14:textId="77777777" w:rsidR="00CF6C7C" w:rsidRPr="003C243E" w:rsidRDefault="00CF6C7C" w:rsidP="003E2EC7">
      <w:pPr>
        <w:pStyle w:val="KnigGedichte"/>
        <w:rPr>
          <w:lang w:val="de-DE"/>
        </w:rPr>
      </w:pPr>
      <w:r w:rsidRPr="003C243E">
        <w:rPr>
          <w:lang w:val="de-DE"/>
        </w:rPr>
        <w:t>um den Pfahl eines Gemarterten</w:t>
      </w:r>
    </w:p>
    <w:p w14:paraId="5A86E304" w14:textId="77777777" w:rsidR="00CF6C7C" w:rsidRPr="003C243E" w:rsidRDefault="00CF6C7C" w:rsidP="003E2EC7">
      <w:pPr>
        <w:pStyle w:val="KnigGedichte"/>
        <w:rPr>
          <w:lang w:val="de-DE"/>
        </w:rPr>
      </w:pPr>
      <w:r w:rsidRPr="003C243E">
        <w:rPr>
          <w:lang w:val="de-DE"/>
        </w:rPr>
        <w:t>er hat dich angerufen und wurde gefesselt</w:t>
      </w:r>
    </w:p>
    <w:p w14:paraId="03BFF2EA" w14:textId="77777777" w:rsidR="00CF6C7C" w:rsidRPr="003C243E" w:rsidRDefault="00CF6C7C" w:rsidP="003E2EC7">
      <w:pPr>
        <w:pStyle w:val="KnigGedichte"/>
        <w:rPr>
          <w:lang w:val="de-DE"/>
        </w:rPr>
      </w:pPr>
      <w:r w:rsidRPr="003C243E">
        <w:rPr>
          <w:lang w:val="de-DE"/>
        </w:rPr>
        <w:t>will aber nicht preisen dein Sternbild in die Nacht hinein</w:t>
      </w:r>
    </w:p>
    <w:p w14:paraId="75D6A20B" w14:textId="77777777" w:rsidR="003E2EC7" w:rsidRPr="003C243E" w:rsidRDefault="003E2EC7" w:rsidP="00CF6C7C">
      <w:pPr>
        <w:pStyle w:val="KnigNeu"/>
        <w:rPr>
          <w:szCs w:val="20"/>
          <w:lang w:val="de-DE"/>
        </w:rPr>
      </w:pPr>
    </w:p>
    <w:p w14:paraId="46137230" w14:textId="51600B96" w:rsidR="00CF6C7C" w:rsidRPr="003C243E" w:rsidRDefault="00CF6C7C" w:rsidP="003E2EC7">
      <w:pPr>
        <w:pStyle w:val="KnigNeu"/>
        <w:ind w:firstLine="0"/>
        <w:rPr>
          <w:szCs w:val="20"/>
          <w:lang w:val="de-DE"/>
        </w:rPr>
      </w:pPr>
      <w:r w:rsidRPr="003C243E">
        <w:rPr>
          <w:szCs w:val="20"/>
          <w:lang w:val="de-DE"/>
        </w:rPr>
        <w:t xml:space="preserve">Die sexuelle Bildersprache von drehenden Stangen- bzw. Derwischtanz verbindet das Heilige mit dem Profanen </w:t>
      </w:r>
      <w:r w:rsidR="0087073D" w:rsidRPr="003C243E">
        <w:rPr>
          <w:szCs w:val="20"/>
          <w:lang w:val="de-DE"/>
        </w:rPr>
        <w:t xml:space="preserve">so </w:t>
      </w:r>
      <w:r w:rsidRPr="003C243E">
        <w:rPr>
          <w:szCs w:val="20"/>
          <w:lang w:val="de-DE"/>
        </w:rPr>
        <w:t>wie das Wort „gefesselt“ zweideutig auf den Märtyrer in Ketten ebenso wie auf das Verliebtsein hinweist. Das Gedicht endet mit der Symbolik der Raumfahrt, die zugleich auf die Überwindung der Zweiheit vom Himmel und der Erde sowie auf eine Religiosität ohne Endzeitpunkt</w:t>
      </w:r>
      <w:r w:rsidR="00E80ED4" w:rsidRPr="003C243E">
        <w:rPr>
          <w:szCs w:val="20"/>
          <w:lang w:val="de-DE"/>
        </w:rPr>
        <w:t xml:space="preserve"> hindeutet</w:t>
      </w:r>
      <w:r w:rsidRPr="003C243E">
        <w:rPr>
          <w:szCs w:val="20"/>
          <w:lang w:val="de-DE"/>
        </w:rPr>
        <w:t>, deren Bedeutung in der Entdeckungsreise liegt:</w:t>
      </w:r>
    </w:p>
    <w:p w14:paraId="73106E61" w14:textId="77777777" w:rsidR="003E2EC7" w:rsidRPr="003C243E" w:rsidRDefault="003E2EC7" w:rsidP="003E2EC7">
      <w:pPr>
        <w:pStyle w:val="KnigNeu"/>
        <w:ind w:firstLine="0"/>
        <w:rPr>
          <w:szCs w:val="20"/>
          <w:lang w:val="de-DE"/>
        </w:rPr>
      </w:pPr>
    </w:p>
    <w:p w14:paraId="5867825D" w14:textId="77777777" w:rsidR="00CF6C7C" w:rsidRPr="003C243E" w:rsidRDefault="00CF6C7C" w:rsidP="003E2EC7">
      <w:pPr>
        <w:pStyle w:val="KnigGedichte"/>
        <w:rPr>
          <w:lang w:val="de-DE"/>
        </w:rPr>
      </w:pPr>
      <w:r w:rsidRPr="003C243E">
        <w:rPr>
          <w:lang w:val="de-DE"/>
        </w:rPr>
        <w:t>in meinem All bist du der einzige Planet</w:t>
      </w:r>
    </w:p>
    <w:p w14:paraId="1600FED5" w14:textId="77777777" w:rsidR="00CF6C7C" w:rsidRPr="003C243E" w:rsidRDefault="00CF6C7C" w:rsidP="003E2EC7">
      <w:pPr>
        <w:pStyle w:val="KnigGedichte"/>
        <w:rPr>
          <w:lang w:val="de-DE"/>
        </w:rPr>
      </w:pPr>
      <w:r w:rsidRPr="003C243E">
        <w:rPr>
          <w:lang w:val="de-DE"/>
        </w:rPr>
        <w:t>mein vertrautes lebensfremdes Irrlicht</w:t>
      </w:r>
    </w:p>
    <w:p w14:paraId="3F3CEB13" w14:textId="77777777" w:rsidR="00CF6C7C" w:rsidRPr="003C243E" w:rsidRDefault="00CF6C7C" w:rsidP="003E2EC7">
      <w:pPr>
        <w:pStyle w:val="KnigGedichte"/>
        <w:rPr>
          <w:lang w:val="de-DE"/>
        </w:rPr>
      </w:pPr>
      <w:r w:rsidRPr="003C243E">
        <w:rPr>
          <w:lang w:val="de-DE"/>
        </w:rPr>
        <w:t>für mich zwar noch nicht bewohnbar</w:t>
      </w:r>
    </w:p>
    <w:p w14:paraId="1F130C80" w14:textId="77777777" w:rsidR="00CF6C7C" w:rsidRPr="003C243E" w:rsidRDefault="00CF6C7C" w:rsidP="003E2EC7">
      <w:pPr>
        <w:pStyle w:val="KnigGedichte"/>
        <w:rPr>
          <w:lang w:val="de-DE"/>
        </w:rPr>
      </w:pPr>
      <w:r w:rsidRPr="003C243E">
        <w:rPr>
          <w:lang w:val="de-DE"/>
        </w:rPr>
        <w:lastRenderedPageBreak/>
        <w:t>doch mein einziger Landepunkt</w:t>
      </w:r>
    </w:p>
    <w:p w14:paraId="38D340C0" w14:textId="77777777" w:rsidR="003E2EC7" w:rsidRPr="003C243E" w:rsidRDefault="003E2EC7" w:rsidP="00CF6C7C">
      <w:pPr>
        <w:pStyle w:val="KnigNeu"/>
        <w:rPr>
          <w:szCs w:val="20"/>
          <w:lang w:val="de-DE"/>
        </w:rPr>
      </w:pPr>
    </w:p>
    <w:p w14:paraId="1B67CCB6" w14:textId="55136EC6" w:rsidR="00CF6C7C" w:rsidRPr="003C243E" w:rsidRDefault="00CF6C7C" w:rsidP="003E2EC7">
      <w:pPr>
        <w:pStyle w:val="KnigNeu"/>
        <w:ind w:firstLine="0"/>
        <w:rPr>
          <w:szCs w:val="20"/>
          <w:lang w:val="de-DE"/>
        </w:rPr>
      </w:pPr>
      <w:r w:rsidRPr="003C243E">
        <w:rPr>
          <w:szCs w:val="20"/>
          <w:lang w:val="de-DE"/>
        </w:rPr>
        <w:t>Die Anspielung auf Gott als „Irrlicht“</w:t>
      </w:r>
      <w:r w:rsidR="0087073D" w:rsidRPr="003C243E">
        <w:rPr>
          <w:szCs w:val="20"/>
          <w:lang w:val="de-DE"/>
        </w:rPr>
        <w:t xml:space="preserve"> bestätigt</w:t>
      </w:r>
      <w:r w:rsidRPr="003C243E">
        <w:rPr>
          <w:szCs w:val="20"/>
          <w:lang w:val="de-DE"/>
        </w:rPr>
        <w:t xml:space="preserve"> die flüchtige Natur des Heiligen im Gedicht und auch die Bedeutung der religiösen Reise im Vergleich zum Ziel, denn das Irrlicht entfernt sich, wenn Menschen ihm nahekommen. Im Gespräch mit Matthias Konzett behauptet Şenocak:</w:t>
      </w:r>
    </w:p>
    <w:p w14:paraId="7825161D" w14:textId="77777777" w:rsidR="00CF6C7C" w:rsidRPr="003C243E" w:rsidRDefault="00CF6C7C" w:rsidP="003E2EC7">
      <w:pPr>
        <w:pStyle w:val="KnigZitate"/>
        <w:rPr>
          <w:lang w:val="de-DE"/>
        </w:rPr>
      </w:pPr>
      <w:r w:rsidRPr="003C243E">
        <w:rPr>
          <w:lang w:val="de-DE"/>
        </w:rPr>
        <w:t>Alles wird fixiert, benannt, etikettiert. Wie gelangt man da zum Wesen der Dinge? [...] Mich interessiert dabei auch nicht eine Antwort, ein Ergebnis, sondern der Weg, der endlose Weg, oft voller Umwege und Überraschungen.</w:t>
      </w:r>
      <w:r w:rsidRPr="003C243E">
        <w:rPr>
          <w:rStyle w:val="FootnoteReference"/>
          <w:sz w:val="20"/>
          <w:szCs w:val="20"/>
          <w:lang w:val="de-DE"/>
        </w:rPr>
        <w:footnoteReference w:id="53"/>
      </w:r>
    </w:p>
    <w:p w14:paraId="24389E87" w14:textId="79206C9E" w:rsidR="00CF6C7C" w:rsidRPr="003C243E" w:rsidRDefault="00CF6C7C" w:rsidP="00AE3017">
      <w:pPr>
        <w:pStyle w:val="KnigNeu"/>
        <w:ind w:firstLine="0"/>
        <w:rPr>
          <w:szCs w:val="20"/>
          <w:lang w:val="de-DE"/>
        </w:rPr>
      </w:pPr>
      <w:r w:rsidRPr="003C243E">
        <w:rPr>
          <w:szCs w:val="20"/>
          <w:lang w:val="de-DE"/>
        </w:rPr>
        <w:t xml:space="preserve">Die Religiosität bleibt </w:t>
      </w:r>
      <w:r w:rsidR="00533849" w:rsidRPr="003C243E">
        <w:rPr>
          <w:szCs w:val="20"/>
          <w:lang w:val="de-DE"/>
        </w:rPr>
        <w:t xml:space="preserve">in </w:t>
      </w:r>
      <w:r w:rsidR="00533849" w:rsidRPr="003C243E">
        <w:rPr>
          <w:i/>
          <w:szCs w:val="20"/>
          <w:lang w:val="de-DE"/>
        </w:rPr>
        <w:t>Übergang</w:t>
      </w:r>
      <w:r w:rsidR="00533849" w:rsidRPr="003C243E">
        <w:rPr>
          <w:szCs w:val="20"/>
          <w:lang w:val="de-DE"/>
        </w:rPr>
        <w:t xml:space="preserve"> unabgeschlosse</w:t>
      </w:r>
      <w:r w:rsidR="0087073D" w:rsidRPr="003C243E">
        <w:rPr>
          <w:szCs w:val="20"/>
          <w:lang w:val="de-DE"/>
        </w:rPr>
        <w:t>n</w:t>
      </w:r>
      <w:r w:rsidR="00E748B8" w:rsidRPr="003C243E">
        <w:rPr>
          <w:szCs w:val="20"/>
          <w:lang w:val="de-DE"/>
        </w:rPr>
        <w:t xml:space="preserve"> </w:t>
      </w:r>
      <w:r w:rsidRPr="003C243E">
        <w:rPr>
          <w:szCs w:val="20"/>
          <w:lang w:val="de-DE"/>
        </w:rPr>
        <w:t>und</w:t>
      </w:r>
      <w:r w:rsidRPr="003C243E">
        <w:rPr>
          <w:i/>
          <w:szCs w:val="20"/>
          <w:lang w:val="de-DE"/>
        </w:rPr>
        <w:t xml:space="preserve"> </w:t>
      </w:r>
      <w:r w:rsidRPr="003C243E">
        <w:rPr>
          <w:szCs w:val="20"/>
          <w:lang w:val="de-DE"/>
        </w:rPr>
        <w:t xml:space="preserve">suggeriert dabei, dass eine wahre Heiligkeit demjenigen fehlt, der den Glauben als eine starrte und eindeutige </w:t>
      </w:r>
      <w:r w:rsidR="0087073D" w:rsidRPr="003C243E">
        <w:rPr>
          <w:szCs w:val="20"/>
          <w:lang w:val="de-DE"/>
        </w:rPr>
        <w:t xml:space="preserve">weltanschauliche Botschaft </w:t>
      </w:r>
      <w:r w:rsidRPr="003C243E">
        <w:rPr>
          <w:szCs w:val="20"/>
          <w:lang w:val="de-DE"/>
        </w:rPr>
        <w:t>versteht.</w:t>
      </w:r>
    </w:p>
    <w:p w14:paraId="2B2678DC" w14:textId="6BF3DE95" w:rsidR="00CF6C7C" w:rsidRPr="003C243E" w:rsidRDefault="00CF6C7C" w:rsidP="00CF6C7C">
      <w:pPr>
        <w:pStyle w:val="KnigNeu"/>
        <w:rPr>
          <w:szCs w:val="20"/>
          <w:lang w:val="de-DE"/>
        </w:rPr>
      </w:pPr>
      <w:r w:rsidRPr="003C243E">
        <w:rPr>
          <w:szCs w:val="20"/>
          <w:lang w:val="de-DE"/>
        </w:rPr>
        <w:t>Das Gedicht „Wetterleuchten“</w:t>
      </w:r>
      <w:r w:rsidRPr="003C243E">
        <w:rPr>
          <w:rStyle w:val="FootnoteReference"/>
          <w:szCs w:val="20"/>
          <w:lang w:val="de-DE"/>
        </w:rPr>
        <w:footnoteReference w:id="54"/>
      </w:r>
      <w:r w:rsidRPr="003C243E">
        <w:rPr>
          <w:szCs w:val="20"/>
          <w:lang w:val="de-DE"/>
        </w:rPr>
        <w:t xml:space="preserve"> deutet </w:t>
      </w:r>
      <w:r w:rsidR="00E748B8" w:rsidRPr="003C243E">
        <w:rPr>
          <w:szCs w:val="20"/>
          <w:lang w:val="de-DE"/>
        </w:rPr>
        <w:t>ebenfalls</w:t>
      </w:r>
      <w:r w:rsidRPr="003C243E">
        <w:rPr>
          <w:szCs w:val="20"/>
          <w:lang w:val="de-DE"/>
        </w:rPr>
        <w:t>eine nie erreichbare Religiosität an:</w:t>
      </w:r>
    </w:p>
    <w:p w14:paraId="7DF76543" w14:textId="77777777" w:rsidR="003E2EC7" w:rsidRPr="003C243E" w:rsidRDefault="003E2EC7" w:rsidP="00CF6C7C">
      <w:pPr>
        <w:pStyle w:val="KnigNeu"/>
        <w:rPr>
          <w:szCs w:val="20"/>
          <w:lang w:val="de-DE"/>
        </w:rPr>
      </w:pPr>
    </w:p>
    <w:p w14:paraId="16F4B746" w14:textId="77777777" w:rsidR="00CF6C7C" w:rsidRPr="003C243E" w:rsidRDefault="00CF6C7C" w:rsidP="003E2EC7">
      <w:pPr>
        <w:pStyle w:val="KnigGedichte"/>
        <w:rPr>
          <w:lang w:val="de-DE"/>
        </w:rPr>
      </w:pPr>
      <w:r w:rsidRPr="003C243E">
        <w:rPr>
          <w:lang w:val="de-DE"/>
        </w:rPr>
        <w:t>ich bin am Fenster</w:t>
      </w:r>
    </w:p>
    <w:p w14:paraId="4527BCB0" w14:textId="77777777" w:rsidR="00CF6C7C" w:rsidRPr="003C243E" w:rsidRDefault="00CF6C7C" w:rsidP="003E2EC7">
      <w:pPr>
        <w:pStyle w:val="KnigGedichte"/>
        <w:rPr>
          <w:lang w:val="de-DE"/>
        </w:rPr>
      </w:pPr>
      <w:r w:rsidRPr="003C243E">
        <w:rPr>
          <w:lang w:val="de-DE"/>
        </w:rPr>
        <w:t>und sehe</w:t>
      </w:r>
    </w:p>
    <w:p w14:paraId="207E97FD" w14:textId="77777777" w:rsidR="00CF6C7C" w:rsidRPr="003C243E" w:rsidRDefault="00CF6C7C" w:rsidP="003E2EC7">
      <w:pPr>
        <w:pStyle w:val="KnigGedichte"/>
        <w:rPr>
          <w:lang w:val="de-DE"/>
        </w:rPr>
      </w:pPr>
      <w:r w:rsidRPr="003C243E">
        <w:rPr>
          <w:lang w:val="de-DE"/>
        </w:rPr>
        <w:t>wie die Blätter zurückkommen an den Baum</w:t>
      </w:r>
    </w:p>
    <w:p w14:paraId="3399758A" w14:textId="77777777" w:rsidR="00CF6C7C" w:rsidRPr="003C243E" w:rsidRDefault="00CF6C7C" w:rsidP="003E2EC7">
      <w:pPr>
        <w:pStyle w:val="KnigGedichte"/>
        <w:rPr>
          <w:lang w:val="de-DE"/>
        </w:rPr>
      </w:pPr>
    </w:p>
    <w:p w14:paraId="213F048E" w14:textId="77777777" w:rsidR="00CF6C7C" w:rsidRPr="003C243E" w:rsidRDefault="00CF6C7C" w:rsidP="003E2EC7">
      <w:pPr>
        <w:pStyle w:val="KnigGedichte"/>
        <w:rPr>
          <w:lang w:val="de-DE"/>
        </w:rPr>
      </w:pPr>
      <w:r w:rsidRPr="003C243E">
        <w:rPr>
          <w:lang w:val="de-DE"/>
        </w:rPr>
        <w:t>treffe Vorbereitungen</w:t>
      </w:r>
    </w:p>
    <w:p w14:paraId="099E71C3" w14:textId="77777777" w:rsidR="00CF6C7C" w:rsidRPr="003C243E" w:rsidRDefault="00CF6C7C" w:rsidP="003E2EC7">
      <w:pPr>
        <w:pStyle w:val="KnigGedichte"/>
        <w:rPr>
          <w:lang w:val="de-DE"/>
        </w:rPr>
      </w:pPr>
      <w:r w:rsidRPr="003C243E">
        <w:rPr>
          <w:lang w:val="de-DE"/>
        </w:rPr>
        <w:t>für meine eigene Rückkehr</w:t>
      </w:r>
    </w:p>
    <w:p w14:paraId="1E7F05D5" w14:textId="77777777" w:rsidR="00CF6C7C" w:rsidRPr="003C243E" w:rsidRDefault="00CF6C7C" w:rsidP="003E2EC7">
      <w:pPr>
        <w:pStyle w:val="KnigGedichte"/>
        <w:rPr>
          <w:lang w:val="de-DE"/>
        </w:rPr>
      </w:pPr>
      <w:r w:rsidRPr="003C243E">
        <w:rPr>
          <w:lang w:val="de-DE"/>
        </w:rPr>
        <w:t>verirre mich im Wald</w:t>
      </w:r>
    </w:p>
    <w:p w14:paraId="0A0F7481" w14:textId="77777777" w:rsidR="003E2EC7" w:rsidRPr="003C243E" w:rsidRDefault="003E2EC7" w:rsidP="00CF6C7C">
      <w:pPr>
        <w:pStyle w:val="KnigNeu"/>
        <w:rPr>
          <w:szCs w:val="20"/>
          <w:lang w:val="de-DE"/>
        </w:rPr>
      </w:pPr>
    </w:p>
    <w:p w14:paraId="0DF52E37" w14:textId="5D8FEDAC" w:rsidR="00CF6C7C" w:rsidRPr="003C243E" w:rsidRDefault="00CF6C7C" w:rsidP="003E2EC7">
      <w:pPr>
        <w:pStyle w:val="KnigNeu"/>
        <w:ind w:firstLine="0"/>
        <w:rPr>
          <w:szCs w:val="20"/>
          <w:lang w:val="de-DE"/>
        </w:rPr>
      </w:pPr>
      <w:r w:rsidRPr="003C243E">
        <w:rPr>
          <w:szCs w:val="20"/>
          <w:lang w:val="de-DE"/>
        </w:rPr>
        <w:t>Hier symbolisiert der Baum nochmals einen Aspekt der islamischen Überlieferung, aber diesmal, ähnlich dem Gedicht V von „Vor der Festung“, mit einem Optimismus</w:t>
      </w:r>
      <w:r w:rsidR="00F65880" w:rsidRPr="003C243E">
        <w:rPr>
          <w:szCs w:val="20"/>
          <w:lang w:val="de-DE"/>
        </w:rPr>
        <w:t>,</w:t>
      </w:r>
      <w:r w:rsidRPr="003C243E">
        <w:rPr>
          <w:szCs w:val="20"/>
          <w:lang w:val="de-DE"/>
        </w:rPr>
        <w:t xml:space="preserve"> der den öden Landschaften im Zyklus „Übergang“ fehlt. Das lyrische Ich verläuft sich aber im Wald und findet nicht seinen Weg zurück. Das </w:t>
      </w:r>
      <w:r w:rsidR="00E748B8" w:rsidRPr="003C243E">
        <w:rPr>
          <w:szCs w:val="20"/>
          <w:lang w:val="de-DE"/>
        </w:rPr>
        <w:t xml:space="preserve">kulturell codierte </w:t>
      </w:r>
      <w:r w:rsidRPr="003C243E">
        <w:rPr>
          <w:szCs w:val="20"/>
          <w:lang w:val="de-DE"/>
        </w:rPr>
        <w:t xml:space="preserve">Bild des Waldes deutet vielleicht darauf hin, dass Şenocak in Deutschland bleibt, während die Anfänge einer islamischen Renaissance in der Türkei keimen – Dank diesem Optimismus </w:t>
      </w:r>
      <w:r w:rsidR="00E748B8" w:rsidRPr="003C243E">
        <w:rPr>
          <w:szCs w:val="20"/>
          <w:lang w:val="de-DE"/>
        </w:rPr>
        <w:t xml:space="preserve">läuft </w:t>
      </w:r>
      <w:r w:rsidRPr="003C243E">
        <w:rPr>
          <w:szCs w:val="20"/>
          <w:lang w:val="de-DE"/>
        </w:rPr>
        <w:t xml:space="preserve">Şenocak nach </w:t>
      </w:r>
      <w:r w:rsidRPr="003C243E">
        <w:rPr>
          <w:i/>
          <w:szCs w:val="20"/>
          <w:lang w:val="de-DE"/>
        </w:rPr>
        <w:t>Übergang</w:t>
      </w:r>
      <w:r w:rsidRPr="003C243E">
        <w:rPr>
          <w:szCs w:val="20"/>
          <w:lang w:val="de-DE"/>
        </w:rPr>
        <w:t xml:space="preserve"> an, Romane auf Türkisch zu schreiben. Wie dem auch sei, suggeriert dieses Gedicht auch die unfassbare Natur des Heiligen und, wenn die Bäume verschied</w:t>
      </w:r>
      <w:r w:rsidR="00E748B8" w:rsidRPr="003C243E">
        <w:rPr>
          <w:szCs w:val="20"/>
          <w:lang w:val="de-DE"/>
        </w:rPr>
        <w:t>ene</w:t>
      </w:r>
      <w:r w:rsidRPr="003C243E">
        <w:rPr>
          <w:szCs w:val="20"/>
          <w:lang w:val="de-DE"/>
        </w:rPr>
        <w:t xml:space="preserve"> Aspekte der Kultur darstellen, auch das Sich-Selbst-Verlieren in der kulturellen Vermischung.</w:t>
      </w:r>
    </w:p>
    <w:p w14:paraId="11FAB40C" w14:textId="77777777" w:rsidR="00CF6C7C" w:rsidRPr="003C243E" w:rsidRDefault="00CF6C7C" w:rsidP="00CF6C7C">
      <w:pPr>
        <w:pStyle w:val="KnigNeu"/>
        <w:rPr>
          <w:szCs w:val="20"/>
          <w:lang w:val="de-DE"/>
        </w:rPr>
      </w:pPr>
    </w:p>
    <w:p w14:paraId="59D9EF73" w14:textId="77777777" w:rsidR="00CF6C7C" w:rsidRPr="003C243E" w:rsidRDefault="00CF6C7C" w:rsidP="003E2EC7">
      <w:pPr>
        <w:pStyle w:val="KnigNeu"/>
        <w:ind w:firstLine="0"/>
        <w:rPr>
          <w:b/>
          <w:szCs w:val="20"/>
          <w:lang w:val="de-DE"/>
        </w:rPr>
      </w:pPr>
      <w:r w:rsidRPr="003C243E">
        <w:rPr>
          <w:b/>
          <w:szCs w:val="20"/>
          <w:lang w:val="de-DE"/>
        </w:rPr>
        <w:t>Schlussbemerkungen</w:t>
      </w:r>
    </w:p>
    <w:p w14:paraId="18C3E65F" w14:textId="77777777" w:rsidR="00CF6C7C" w:rsidRPr="003C243E" w:rsidRDefault="00CF6C7C" w:rsidP="003E2EC7">
      <w:pPr>
        <w:pStyle w:val="KnigNeu"/>
        <w:ind w:firstLine="0"/>
        <w:rPr>
          <w:i/>
          <w:szCs w:val="20"/>
          <w:lang w:val="de-DE"/>
        </w:rPr>
      </w:pPr>
    </w:p>
    <w:p w14:paraId="2E698AF4" w14:textId="77777777" w:rsidR="00CF6C7C" w:rsidRPr="003C243E" w:rsidRDefault="00CF6C7C" w:rsidP="003E2EC7">
      <w:pPr>
        <w:pStyle w:val="KnigNeu"/>
        <w:ind w:firstLine="0"/>
        <w:rPr>
          <w:szCs w:val="20"/>
          <w:lang w:val="de-DE"/>
        </w:rPr>
      </w:pPr>
      <w:r w:rsidRPr="003C243E">
        <w:rPr>
          <w:szCs w:val="20"/>
          <w:lang w:val="de-DE"/>
        </w:rPr>
        <w:t xml:space="preserve">Şenocak setzt in </w:t>
      </w:r>
      <w:r w:rsidRPr="003C243E">
        <w:rPr>
          <w:i/>
          <w:szCs w:val="20"/>
          <w:lang w:val="de-DE"/>
        </w:rPr>
        <w:t>Übergang</w:t>
      </w:r>
      <w:r w:rsidRPr="003C243E">
        <w:rPr>
          <w:szCs w:val="20"/>
          <w:lang w:val="de-DE"/>
        </w:rPr>
        <w:t xml:space="preserve"> seine Theorie der negativen Hermeneutik insofern in die Praxis um, als dass, im Gegensatz zur binären </w:t>
      </w:r>
      <w:r w:rsidRPr="003C243E">
        <w:rPr>
          <w:szCs w:val="20"/>
          <w:lang w:val="de-DE"/>
        </w:rPr>
        <w:lastRenderedPageBreak/>
        <w:t>definierenden Gegenüberstellung mit dem Anderen, das Selbst (und seine Identität) in Form einer Offenheit zum Anderen betrachtet wird. Laut Nancy müssen wir diese komplexe Idee der Identität begreifen:</w:t>
      </w:r>
    </w:p>
    <w:p w14:paraId="22046E36" w14:textId="77777777" w:rsidR="00CF6C7C" w:rsidRPr="003C243E" w:rsidRDefault="00CF6C7C" w:rsidP="003E2EC7">
      <w:pPr>
        <w:pStyle w:val="KnigZitate"/>
        <w:rPr>
          <w:lang w:val="de-DE"/>
        </w:rPr>
      </w:pPr>
      <w:r w:rsidRPr="003C243E">
        <w:rPr>
          <w:lang w:val="de-DE"/>
        </w:rPr>
        <w:t xml:space="preserve">Die Stämme und Hautfarben neu vermischen, aber auch ihre heterogenen historischen Wege beschreiben, ihre verflochtenen und doch unterschiedenen Netze: auf keinen Fall meinen, der ‚Mensch‘ sei einfach, homogen, präsent. Es gibt weder </w:t>
      </w:r>
      <w:r w:rsidRPr="003C243E">
        <w:rPr>
          <w:i/>
          <w:lang w:val="de-DE"/>
        </w:rPr>
        <w:t>den</w:t>
      </w:r>
      <w:r w:rsidRPr="003C243E">
        <w:rPr>
          <w:lang w:val="de-DE"/>
        </w:rPr>
        <w:t xml:space="preserve"> Menschen (</w:t>
      </w:r>
      <w:r w:rsidRPr="003C243E">
        <w:rPr>
          <w:i/>
          <w:lang w:val="de-DE"/>
        </w:rPr>
        <w:t>den</w:t>
      </w:r>
      <w:r w:rsidRPr="003C243E">
        <w:rPr>
          <w:lang w:val="de-DE"/>
        </w:rPr>
        <w:t xml:space="preserve"> Mann/ </w:t>
      </w:r>
      <w:r w:rsidRPr="003C243E">
        <w:rPr>
          <w:i/>
          <w:lang w:val="de-DE"/>
        </w:rPr>
        <w:t>die</w:t>
      </w:r>
      <w:r w:rsidRPr="003C243E">
        <w:rPr>
          <w:lang w:val="de-DE"/>
        </w:rPr>
        <w:t xml:space="preserve"> Frau) noch </w:t>
      </w:r>
      <w:r w:rsidRPr="003C243E">
        <w:rPr>
          <w:i/>
          <w:lang w:val="de-DE"/>
        </w:rPr>
        <w:t>den</w:t>
      </w:r>
      <w:r w:rsidRPr="003C243E">
        <w:rPr>
          <w:lang w:val="de-DE"/>
        </w:rPr>
        <w:t xml:space="preserve"> Kroaten, </w:t>
      </w:r>
      <w:r w:rsidRPr="003C243E">
        <w:rPr>
          <w:i/>
          <w:lang w:val="de-DE"/>
        </w:rPr>
        <w:t>den</w:t>
      </w:r>
      <w:r w:rsidRPr="003C243E">
        <w:rPr>
          <w:lang w:val="de-DE"/>
        </w:rPr>
        <w:t xml:space="preserve"> Serben oder </w:t>
      </w:r>
      <w:r w:rsidRPr="003C243E">
        <w:rPr>
          <w:i/>
          <w:lang w:val="de-DE"/>
        </w:rPr>
        <w:t>den</w:t>
      </w:r>
      <w:r w:rsidRPr="003C243E">
        <w:rPr>
          <w:lang w:val="de-DE"/>
        </w:rPr>
        <w:t xml:space="preserve"> Bosnier. Statt dessen wissen wir (aber was für ein Wissen wäre das?), daß künftig das Subjekt des Wissens lediglich irgend</w:t>
      </w:r>
      <w:r w:rsidRPr="003C243E">
        <w:rPr>
          <w:i/>
          <w:lang w:val="de-DE"/>
        </w:rPr>
        <w:t>einer</w:t>
      </w:r>
      <w:r w:rsidRPr="003C243E">
        <w:rPr>
          <w:lang w:val="de-DE"/>
        </w:rPr>
        <w:t xml:space="preserve"> ist und, wie jeder Irgend</w:t>
      </w:r>
      <w:r w:rsidRPr="003C243E">
        <w:rPr>
          <w:i/>
          <w:lang w:val="de-DE"/>
        </w:rPr>
        <w:t>einer</w:t>
      </w:r>
      <w:r w:rsidRPr="003C243E">
        <w:rPr>
          <w:lang w:val="de-DE"/>
        </w:rPr>
        <w:t xml:space="preserve">, ein </w:t>
      </w:r>
      <w:r w:rsidRPr="003C243E">
        <w:rPr>
          <w:i/>
          <w:lang w:val="de-DE"/>
        </w:rPr>
        <w:t>Mischblut</w:t>
      </w:r>
      <w:r w:rsidRPr="003C243E">
        <w:rPr>
          <w:lang w:val="de-DE"/>
        </w:rPr>
        <w:t>.</w:t>
      </w:r>
      <w:r w:rsidRPr="003C243E">
        <w:rPr>
          <w:rStyle w:val="FootnoteReference"/>
          <w:sz w:val="20"/>
          <w:szCs w:val="20"/>
          <w:lang w:val="de-DE"/>
        </w:rPr>
        <w:footnoteReference w:id="55"/>
      </w:r>
    </w:p>
    <w:p w14:paraId="16C38C9F" w14:textId="0F2DBF86" w:rsidR="00CF6C7C" w:rsidRPr="003C243E" w:rsidRDefault="00CF6C7C" w:rsidP="00AE3017">
      <w:pPr>
        <w:pStyle w:val="KnigNeu"/>
        <w:ind w:firstLine="0"/>
        <w:rPr>
          <w:szCs w:val="20"/>
          <w:lang w:val="de-DE"/>
        </w:rPr>
      </w:pPr>
      <w:r w:rsidRPr="003C243E">
        <w:rPr>
          <w:szCs w:val="20"/>
          <w:lang w:val="de-DE"/>
        </w:rPr>
        <w:t xml:space="preserve">Şenocak stellt die Subjektivität einer positiven Hermeneutik durch die Haus-Metaphorik in Frage, genauso wie er die kulturelle Identität durch die mehrdeutigen Berührungspunkte zwischen der türkischen post-kemalistsichen und der deutschen post-nationalsozialistischen Situation als fragmentarisch versteht, ohne sie vereinfachend zu vergleichen. Diese spielerische Mehrdeutigkeit lässt sich eher </w:t>
      </w:r>
      <w:r w:rsidR="00BC1E9C" w:rsidRPr="003C243E">
        <w:rPr>
          <w:szCs w:val="20"/>
          <w:lang w:val="de-DE"/>
        </w:rPr>
        <w:t xml:space="preserve">mit Nancys Konzeption </w:t>
      </w:r>
      <w:r w:rsidRPr="003C243E">
        <w:rPr>
          <w:szCs w:val="20"/>
          <w:lang w:val="de-DE"/>
        </w:rPr>
        <w:t>der Vermischung als</w:t>
      </w:r>
      <w:r w:rsidR="00EF68F4" w:rsidRPr="003C243E">
        <w:rPr>
          <w:szCs w:val="20"/>
          <w:lang w:val="de-DE"/>
        </w:rPr>
        <w:t xml:space="preserve"> </w:t>
      </w:r>
      <w:r w:rsidR="00503FD3" w:rsidRPr="003C243E">
        <w:rPr>
          <w:szCs w:val="20"/>
          <w:lang w:val="de-DE"/>
        </w:rPr>
        <w:t>mit der</w:t>
      </w:r>
      <w:r w:rsidR="00BC1E9C" w:rsidRPr="003C243E">
        <w:rPr>
          <w:szCs w:val="20"/>
          <w:lang w:val="de-DE"/>
        </w:rPr>
        <w:t xml:space="preserve"> </w:t>
      </w:r>
      <w:r w:rsidRPr="003C243E">
        <w:rPr>
          <w:szCs w:val="20"/>
          <w:lang w:val="de-DE"/>
        </w:rPr>
        <w:t>Gadamersche</w:t>
      </w:r>
      <w:r w:rsidR="00BC1E9C" w:rsidRPr="003C243E">
        <w:rPr>
          <w:szCs w:val="20"/>
          <w:lang w:val="de-DE"/>
        </w:rPr>
        <w:t>n</w:t>
      </w:r>
      <w:r w:rsidRPr="003C243E">
        <w:rPr>
          <w:szCs w:val="20"/>
          <w:lang w:val="de-DE"/>
        </w:rPr>
        <w:t xml:space="preserve"> Horizontverschmelzung begreifen, da sie feste Standpunkte durch eine offene Subjektivität destabilisiert.</w:t>
      </w:r>
    </w:p>
    <w:p w14:paraId="199C9B0B" w14:textId="5A03944B" w:rsidR="00CF6C7C" w:rsidRPr="003C243E" w:rsidRDefault="00CF6C7C" w:rsidP="00E065EF">
      <w:pPr>
        <w:pStyle w:val="KnigNeu"/>
        <w:rPr>
          <w:szCs w:val="20"/>
          <w:lang w:val="de-DE"/>
        </w:rPr>
      </w:pPr>
      <w:r w:rsidRPr="003C243E">
        <w:rPr>
          <w:szCs w:val="20"/>
          <w:lang w:val="de-DE"/>
        </w:rPr>
        <w:t xml:space="preserve">Außerdem befasst sich </w:t>
      </w:r>
      <w:r w:rsidRPr="003C243E">
        <w:rPr>
          <w:i/>
          <w:szCs w:val="20"/>
          <w:lang w:val="de-DE"/>
        </w:rPr>
        <w:t>Übergang</w:t>
      </w:r>
      <w:r w:rsidRPr="003C243E">
        <w:rPr>
          <w:szCs w:val="20"/>
          <w:lang w:val="de-DE"/>
        </w:rPr>
        <w:t xml:space="preserve"> auch mit der verlorenen sufistischen Tradition, um auf eine weltliche und offene Religiosität hinzudeuten, die, indem sie das monotheistische Paradigma ablehnt, zu keiner Komplexität einbüßenden Identität erstarren kann. Durch die Symbolik der profanen Liebe und der Raumfahrt wird die menschliche Beziehung zum Heiligen in der Welt zum Ausdruck gebracht und dadurch die Zweiheit vom Himmel und der Erde radikal erschüttert. Diese Gedichte setzen also den in Şenocaks Essays </w:t>
      </w:r>
      <w:r w:rsidR="00EF68F4" w:rsidRPr="003C243E">
        <w:rPr>
          <w:szCs w:val="20"/>
          <w:lang w:val="de-DE"/>
        </w:rPr>
        <w:t>ge</w:t>
      </w:r>
      <w:r w:rsidRPr="003C243E">
        <w:rPr>
          <w:szCs w:val="20"/>
          <w:lang w:val="de-DE"/>
        </w:rPr>
        <w:t>forderten schöpferischen Umgang mit religiösen Quellen in die Praxis um, um auf einen Islam hinzudeuten, der für die postmoderne Gegenwart</w:t>
      </w:r>
      <w:r w:rsidR="00A531CA" w:rsidRPr="003C243E">
        <w:rPr>
          <w:szCs w:val="20"/>
          <w:lang w:val="de-DE"/>
        </w:rPr>
        <w:t xml:space="preserve">, in der </w:t>
      </w:r>
      <w:r w:rsidR="00E9249A" w:rsidRPr="003C243E">
        <w:rPr>
          <w:szCs w:val="20"/>
          <w:lang w:val="de-DE"/>
        </w:rPr>
        <w:t xml:space="preserve">feste Grundlagen </w:t>
      </w:r>
      <w:r w:rsidR="00A531CA" w:rsidRPr="003C243E">
        <w:rPr>
          <w:szCs w:val="20"/>
          <w:lang w:val="de-DE"/>
        </w:rPr>
        <w:t xml:space="preserve">hinterfragt werden, </w:t>
      </w:r>
      <w:r w:rsidRPr="003C243E">
        <w:rPr>
          <w:szCs w:val="20"/>
          <w:lang w:val="de-DE"/>
        </w:rPr>
        <w:t>geeignet ist. Darum beeinflusst die negative Hermeneutik auch die Religiosität Şenocaks, die in gleicher Weise verweigert, ihre Bedeutung durch ein symbolisches Anderes, sei es eine andere Religion oder ein übernatürlicher Gott, zu gewinnen. Die Rel</w:t>
      </w:r>
      <w:r w:rsidR="006545C3" w:rsidRPr="003C243E">
        <w:rPr>
          <w:szCs w:val="20"/>
          <w:lang w:val="de-DE"/>
        </w:rPr>
        <w:t xml:space="preserve">igiosität ebenso wie das Selbst </w:t>
      </w:r>
      <w:r w:rsidR="00E065EF" w:rsidRPr="003C243E">
        <w:rPr>
          <w:szCs w:val="20"/>
          <w:lang w:val="de-DE"/>
        </w:rPr>
        <w:t xml:space="preserve">lassen </w:t>
      </w:r>
      <w:r w:rsidRPr="003C243E">
        <w:rPr>
          <w:szCs w:val="20"/>
          <w:lang w:val="de-DE"/>
        </w:rPr>
        <w:t xml:space="preserve">sich </w:t>
      </w:r>
      <w:r w:rsidR="00A531CA" w:rsidRPr="003C243E">
        <w:rPr>
          <w:szCs w:val="20"/>
          <w:lang w:val="de-DE"/>
        </w:rPr>
        <w:t xml:space="preserve">in </w:t>
      </w:r>
      <w:r w:rsidR="00A531CA" w:rsidRPr="003C243E">
        <w:rPr>
          <w:i/>
          <w:szCs w:val="20"/>
          <w:lang w:val="de-DE"/>
        </w:rPr>
        <w:t>Übergang</w:t>
      </w:r>
      <w:r w:rsidR="00A531CA" w:rsidRPr="003C243E">
        <w:rPr>
          <w:szCs w:val="20"/>
          <w:lang w:val="de-DE"/>
        </w:rPr>
        <w:t xml:space="preserve"> </w:t>
      </w:r>
      <w:r w:rsidR="00E065EF" w:rsidRPr="003C243E">
        <w:rPr>
          <w:szCs w:val="20"/>
          <w:lang w:val="de-DE"/>
        </w:rPr>
        <w:t xml:space="preserve">als </w:t>
      </w:r>
      <w:r w:rsidRPr="003C243E">
        <w:rPr>
          <w:szCs w:val="20"/>
          <w:lang w:val="de-DE"/>
        </w:rPr>
        <w:t xml:space="preserve">Dekonstruktion des monotheistischen Paradigmas verstehen, da beide sich durch Offenheit </w:t>
      </w:r>
      <w:r w:rsidR="00E065EF" w:rsidRPr="003C243E">
        <w:rPr>
          <w:szCs w:val="20"/>
          <w:lang w:val="de-DE"/>
        </w:rPr>
        <w:t xml:space="preserve">auf eine </w:t>
      </w:r>
      <w:r w:rsidRPr="003C243E">
        <w:rPr>
          <w:szCs w:val="20"/>
          <w:lang w:val="de-DE"/>
        </w:rPr>
        <w:t>unentschiedene Zukunft richte</w:t>
      </w:r>
      <w:r w:rsidR="00E065EF" w:rsidRPr="003C243E">
        <w:rPr>
          <w:szCs w:val="20"/>
          <w:lang w:val="de-DE"/>
        </w:rPr>
        <w:t>n</w:t>
      </w:r>
      <w:r w:rsidRPr="003C243E">
        <w:rPr>
          <w:szCs w:val="20"/>
          <w:lang w:val="de-DE"/>
        </w:rPr>
        <w:t>. Deshalb ist die Zeile im Gedichtband „es kostet Sinn und Zeit / die Sphären zu einen“</w:t>
      </w:r>
      <w:r w:rsidR="00E9249A" w:rsidRPr="003C243E">
        <w:rPr>
          <w:rStyle w:val="FootnoteReference"/>
          <w:szCs w:val="20"/>
          <w:lang w:val="de-DE"/>
        </w:rPr>
        <w:footnoteReference w:id="56"/>
      </w:r>
      <w:r w:rsidRPr="003C243E">
        <w:rPr>
          <w:szCs w:val="20"/>
          <w:lang w:val="de-DE"/>
        </w:rPr>
        <w:t xml:space="preserve"> nicht als Stellung Şenocaks zwischen zwei Kulturen, sondern vielmehr als Abbau dieser komplexen Zweiheiten zu verstehen.</w:t>
      </w:r>
    </w:p>
    <w:p w14:paraId="27F4C0AD" w14:textId="63165624" w:rsidR="00CF6C7C" w:rsidRPr="003C243E" w:rsidRDefault="00CF6C7C" w:rsidP="00CF6C7C">
      <w:pPr>
        <w:pStyle w:val="KnigNeu"/>
        <w:rPr>
          <w:szCs w:val="20"/>
          <w:lang w:val="de-DE"/>
        </w:rPr>
      </w:pPr>
      <w:r w:rsidRPr="003C243E">
        <w:rPr>
          <w:szCs w:val="20"/>
          <w:lang w:val="de-DE"/>
        </w:rPr>
        <w:lastRenderedPageBreak/>
        <w:t xml:space="preserve">Im Gegensatz zur dualistischen Herangehensweise eines interkulturellen Dialogs zwischen </w:t>
      </w:r>
      <w:r w:rsidR="00503FD3" w:rsidRPr="003C243E">
        <w:rPr>
          <w:szCs w:val="20"/>
          <w:lang w:val="de-DE"/>
        </w:rPr>
        <w:t xml:space="preserve">dem </w:t>
      </w:r>
      <w:r w:rsidRPr="003C243E">
        <w:rPr>
          <w:szCs w:val="20"/>
          <w:lang w:val="de-DE"/>
        </w:rPr>
        <w:t xml:space="preserve">Islam und Deutschland, die manchmal in den Essays mitschwingt, ist die Dekonstruktion dieser binären Oppositionen in </w:t>
      </w:r>
      <w:r w:rsidRPr="003C243E">
        <w:rPr>
          <w:i/>
          <w:szCs w:val="20"/>
          <w:lang w:val="de-DE"/>
        </w:rPr>
        <w:t>Übergang</w:t>
      </w:r>
      <w:r w:rsidRPr="003C243E">
        <w:rPr>
          <w:szCs w:val="20"/>
          <w:lang w:val="de-DE"/>
        </w:rPr>
        <w:t xml:space="preserve"> eher im Rahmen einer nicht-identitätsstiftenden kosmopolitischen Teilnahme Şenocaks an </w:t>
      </w:r>
      <w:r w:rsidR="00E065EF" w:rsidRPr="003C243E">
        <w:rPr>
          <w:szCs w:val="20"/>
          <w:lang w:val="de-DE"/>
        </w:rPr>
        <w:t xml:space="preserve">den </w:t>
      </w:r>
      <w:r w:rsidR="005455B2" w:rsidRPr="003C243E">
        <w:rPr>
          <w:szCs w:val="20"/>
          <w:lang w:val="de-DE"/>
        </w:rPr>
        <w:t xml:space="preserve">gegenwärtigen </w:t>
      </w:r>
      <w:r w:rsidRPr="003C243E">
        <w:rPr>
          <w:szCs w:val="20"/>
          <w:lang w:val="de-DE"/>
        </w:rPr>
        <w:t xml:space="preserve">Diskussionen über </w:t>
      </w:r>
      <w:r w:rsidR="00E065EF" w:rsidRPr="003C243E">
        <w:rPr>
          <w:szCs w:val="20"/>
          <w:lang w:val="de-DE"/>
        </w:rPr>
        <w:t xml:space="preserve">den </w:t>
      </w:r>
      <w:r w:rsidRPr="003C243E">
        <w:rPr>
          <w:szCs w:val="20"/>
          <w:lang w:val="de-DE"/>
        </w:rPr>
        <w:t xml:space="preserve">Islam in Deutschland zu deuten, die über </w:t>
      </w:r>
      <w:r w:rsidR="005455B2" w:rsidRPr="003C243E">
        <w:rPr>
          <w:szCs w:val="20"/>
          <w:lang w:val="de-DE"/>
        </w:rPr>
        <w:t xml:space="preserve">ein </w:t>
      </w:r>
      <w:r w:rsidRPr="003C243E">
        <w:rPr>
          <w:szCs w:val="20"/>
          <w:lang w:val="de-DE"/>
        </w:rPr>
        <w:t>dialektische</w:t>
      </w:r>
      <w:r w:rsidR="005455B2" w:rsidRPr="003C243E">
        <w:rPr>
          <w:szCs w:val="20"/>
          <w:lang w:val="de-DE"/>
        </w:rPr>
        <w:t>s</w:t>
      </w:r>
      <w:r w:rsidRPr="003C243E">
        <w:rPr>
          <w:szCs w:val="20"/>
          <w:lang w:val="de-DE"/>
        </w:rPr>
        <w:t xml:space="preserve"> Denken hinausgeht. Im heutigen Deutschland, wo sogenannte „Patriotische Europäer gegen die Islamisierung des Abendlandes“ Muslime aus der Gemeinschaft ausschließen wollen, wird die </w:t>
      </w:r>
      <w:r w:rsidR="007A3B41" w:rsidRPr="003C243E">
        <w:rPr>
          <w:szCs w:val="20"/>
          <w:lang w:val="de-DE"/>
        </w:rPr>
        <w:t>Vorstellung</w:t>
      </w:r>
      <w:r w:rsidR="008C471A" w:rsidRPr="003C243E">
        <w:rPr>
          <w:szCs w:val="20"/>
          <w:lang w:val="de-DE"/>
        </w:rPr>
        <w:t xml:space="preserve"> </w:t>
      </w:r>
      <w:r w:rsidRPr="003C243E">
        <w:rPr>
          <w:szCs w:val="20"/>
          <w:lang w:val="de-DE"/>
        </w:rPr>
        <w:t xml:space="preserve">einer </w:t>
      </w:r>
      <w:r w:rsidR="007A3B41" w:rsidRPr="003C243E">
        <w:rPr>
          <w:szCs w:val="20"/>
          <w:lang w:val="de-DE"/>
        </w:rPr>
        <w:t>‚</w:t>
      </w:r>
      <w:r w:rsidRPr="003C243E">
        <w:rPr>
          <w:szCs w:val="20"/>
          <w:lang w:val="de-DE"/>
        </w:rPr>
        <w:t>entwerkten Gemeinschaft</w:t>
      </w:r>
      <w:r w:rsidR="007A3B41" w:rsidRPr="003C243E">
        <w:rPr>
          <w:szCs w:val="20"/>
          <w:lang w:val="de-DE"/>
        </w:rPr>
        <w:t>’</w:t>
      </w:r>
      <w:r w:rsidRPr="003C243E">
        <w:rPr>
          <w:szCs w:val="20"/>
          <w:lang w:val="de-DE"/>
        </w:rPr>
        <w:t xml:space="preserve"> (eine</w:t>
      </w:r>
      <w:r w:rsidR="008C471A" w:rsidRPr="003C243E">
        <w:rPr>
          <w:szCs w:val="20"/>
          <w:lang w:val="de-DE"/>
        </w:rPr>
        <w:t>r</w:t>
      </w:r>
      <w:r w:rsidRPr="003C243E">
        <w:rPr>
          <w:szCs w:val="20"/>
          <w:lang w:val="de-DE"/>
        </w:rPr>
        <w:t xml:space="preserve"> Gemeinschaft jenseits von Identität) </w:t>
      </w:r>
      <w:r w:rsidR="008C471A" w:rsidRPr="003C243E">
        <w:rPr>
          <w:szCs w:val="20"/>
          <w:lang w:val="de-DE"/>
        </w:rPr>
        <w:t xml:space="preserve">zu </w:t>
      </w:r>
      <w:r w:rsidRPr="003C243E">
        <w:rPr>
          <w:szCs w:val="20"/>
          <w:lang w:val="de-DE"/>
        </w:rPr>
        <w:t>ein</w:t>
      </w:r>
      <w:r w:rsidR="008C471A" w:rsidRPr="003C243E">
        <w:rPr>
          <w:szCs w:val="20"/>
          <w:lang w:val="de-DE"/>
        </w:rPr>
        <w:t>em</w:t>
      </w:r>
      <w:r w:rsidRPr="003C243E">
        <w:rPr>
          <w:szCs w:val="20"/>
          <w:lang w:val="de-DE"/>
        </w:rPr>
        <w:t xml:space="preserve"> produktive</w:t>
      </w:r>
      <w:r w:rsidR="008C471A" w:rsidRPr="003C243E">
        <w:rPr>
          <w:szCs w:val="20"/>
          <w:lang w:val="de-DE"/>
        </w:rPr>
        <w:t>n</w:t>
      </w:r>
      <w:r w:rsidRPr="003C243E">
        <w:rPr>
          <w:szCs w:val="20"/>
          <w:lang w:val="de-DE"/>
        </w:rPr>
        <w:t xml:space="preserve"> Denkansatz, der Konflikte </w:t>
      </w:r>
      <w:r w:rsidR="007A3B41" w:rsidRPr="003C243E">
        <w:rPr>
          <w:szCs w:val="20"/>
          <w:lang w:val="de-DE"/>
        </w:rPr>
        <w:t>ver</w:t>
      </w:r>
      <w:r w:rsidRPr="003C243E">
        <w:rPr>
          <w:szCs w:val="20"/>
          <w:lang w:val="de-DE"/>
        </w:rPr>
        <w:t>meiden könnte. Genauso wichtig ist der erweiterte Erinnerungshorizont dieser Lyrik in Bezug auf die deutsche sowie die islamische Geschichte, denn sie zeigt die „multiple Persönlichkeit, die sich hinter den Etikettierungen verbirgt“</w:t>
      </w:r>
      <w:r w:rsidRPr="003C243E">
        <w:rPr>
          <w:rStyle w:val="FootnoteReference"/>
          <w:szCs w:val="20"/>
          <w:lang w:val="de-DE"/>
        </w:rPr>
        <w:footnoteReference w:id="57"/>
      </w:r>
      <w:r w:rsidRPr="003C243E">
        <w:rPr>
          <w:szCs w:val="20"/>
          <w:lang w:val="de-DE"/>
        </w:rPr>
        <w:t xml:space="preserve"> und bringt Berührungspunkte hervor. Şenocak argumentiert im Essay „Deutschsein am Bosporus: Über die Vieldeutigkeit von Identität“ (2011):</w:t>
      </w:r>
    </w:p>
    <w:p w14:paraId="739071DB" w14:textId="77777777" w:rsidR="00CF6C7C" w:rsidRPr="003C243E" w:rsidRDefault="00CF6C7C" w:rsidP="003E2EC7">
      <w:pPr>
        <w:pStyle w:val="KnigZitate"/>
        <w:rPr>
          <w:lang w:val="de-DE"/>
        </w:rPr>
      </w:pPr>
      <w:r w:rsidRPr="003C243E">
        <w:rPr>
          <w:lang w:val="de-DE"/>
        </w:rPr>
        <w:t>Wer heute darüber diskutiert, ob der Islam ein Teil der deutschen Kultur sei, kennt weder seinen Goethe noch seinen Lessing und schon gar nicht Rückert, den genialen Übersetzer aus den orientalischen Sprachen. Er weiß nichts über die muslimischen Engelmotive bei Rilke.</w:t>
      </w:r>
      <w:r w:rsidRPr="003C243E">
        <w:rPr>
          <w:rStyle w:val="FootnoteReference"/>
          <w:sz w:val="20"/>
          <w:szCs w:val="20"/>
          <w:lang w:val="de-DE"/>
        </w:rPr>
        <w:footnoteReference w:id="58"/>
      </w:r>
    </w:p>
    <w:p w14:paraId="076CC391" w14:textId="44933949" w:rsidR="00CF6C7C" w:rsidRPr="003C243E" w:rsidRDefault="00CF6C7C" w:rsidP="007916D6">
      <w:pPr>
        <w:pStyle w:val="KnigNeu"/>
        <w:ind w:firstLine="0"/>
        <w:rPr>
          <w:szCs w:val="20"/>
          <w:lang w:val="de-DE"/>
        </w:rPr>
      </w:pPr>
      <w:r w:rsidRPr="003C243E">
        <w:rPr>
          <w:szCs w:val="20"/>
          <w:lang w:val="de-DE"/>
        </w:rPr>
        <w:t xml:space="preserve">Außerdem kann man den Islam wohl kaum aus der Postmoderne ausgrenzen, wenn die weltliche und skeptische Religiosität der mittelalterlichen Ketzer wie Emre und der gegenwärtigen Ketzer </w:t>
      </w:r>
      <w:r w:rsidR="008C471A" w:rsidRPr="003C243E">
        <w:rPr>
          <w:szCs w:val="20"/>
          <w:lang w:val="de-DE"/>
        </w:rPr>
        <w:t xml:space="preserve">in </w:t>
      </w:r>
      <w:r w:rsidRPr="003C243E">
        <w:rPr>
          <w:szCs w:val="20"/>
          <w:lang w:val="de-DE"/>
        </w:rPr>
        <w:t>der deutschen Literatur wie Şenocak zum islamischen Kanon gezählt werden.</w:t>
      </w:r>
    </w:p>
    <w:p w14:paraId="72973F74" w14:textId="77777777" w:rsidR="00CF6C7C" w:rsidRPr="003C243E" w:rsidRDefault="00CF6C7C" w:rsidP="003E2EC7">
      <w:pPr>
        <w:pStyle w:val="KnigNeu"/>
        <w:ind w:firstLine="0"/>
        <w:rPr>
          <w:szCs w:val="20"/>
          <w:lang w:val="de-DE"/>
        </w:rPr>
      </w:pPr>
    </w:p>
    <w:p w14:paraId="2F6A44AC" w14:textId="77777777" w:rsidR="003E2EC7" w:rsidRPr="003C243E" w:rsidRDefault="003E2EC7" w:rsidP="003E2EC7">
      <w:pPr>
        <w:pStyle w:val="KnigNeu"/>
        <w:ind w:firstLine="0"/>
        <w:rPr>
          <w:szCs w:val="20"/>
          <w:lang w:val="de-DE"/>
        </w:rPr>
      </w:pPr>
    </w:p>
    <w:p w14:paraId="1AD933F5" w14:textId="77777777" w:rsidR="00CF6C7C" w:rsidRPr="003C243E" w:rsidRDefault="00CF6C7C" w:rsidP="003E2EC7">
      <w:pPr>
        <w:pStyle w:val="KnigNeu"/>
        <w:ind w:firstLine="0"/>
        <w:rPr>
          <w:b/>
          <w:szCs w:val="20"/>
          <w:lang w:val="de-DE"/>
        </w:rPr>
      </w:pPr>
      <w:r w:rsidRPr="003C243E">
        <w:rPr>
          <w:b/>
          <w:szCs w:val="20"/>
          <w:lang w:val="de-DE"/>
        </w:rPr>
        <w:t>Bibliographie</w:t>
      </w:r>
    </w:p>
    <w:p w14:paraId="19AAFDB2" w14:textId="77777777" w:rsidR="003E2EC7" w:rsidRPr="003C243E" w:rsidRDefault="003E2EC7" w:rsidP="003E2EC7">
      <w:pPr>
        <w:pStyle w:val="KnigNeu"/>
        <w:ind w:firstLine="0"/>
        <w:rPr>
          <w:szCs w:val="20"/>
          <w:lang w:val="de-DE"/>
        </w:rPr>
      </w:pPr>
    </w:p>
    <w:p w14:paraId="4FD35846" w14:textId="5F096CED" w:rsidR="00CF6C7C" w:rsidRPr="003C243E" w:rsidRDefault="00CF6C7C" w:rsidP="00BC79C1">
      <w:pPr>
        <w:pStyle w:val="KnigNeu"/>
        <w:ind w:left="397" w:hanging="397"/>
        <w:rPr>
          <w:szCs w:val="20"/>
          <w:lang w:val="de-DE"/>
        </w:rPr>
      </w:pPr>
      <w:r w:rsidRPr="003C243E">
        <w:rPr>
          <w:szCs w:val="20"/>
          <w:lang w:val="de-DE"/>
        </w:rPr>
        <w:t xml:space="preserve">Adelson, Leslie A: „Against Between – Ein Manifest gegen das Dazwischen“. In: Heinz Ludwig Arnold (Hg.): </w:t>
      </w:r>
      <w:r w:rsidRPr="003C243E">
        <w:rPr>
          <w:i/>
          <w:szCs w:val="20"/>
          <w:lang w:val="de-DE"/>
        </w:rPr>
        <w:t>Literatur und Migration</w:t>
      </w:r>
      <w:r w:rsidRPr="003C243E">
        <w:rPr>
          <w:szCs w:val="20"/>
          <w:lang w:val="de-DE"/>
        </w:rPr>
        <w:t>. München:</w:t>
      </w:r>
      <w:r w:rsidR="00651293" w:rsidRPr="003C243E">
        <w:rPr>
          <w:szCs w:val="20"/>
          <w:lang w:val="de-DE"/>
        </w:rPr>
        <w:t xml:space="preserve"> edition text + kritik 2006, 36–</w:t>
      </w:r>
      <w:r w:rsidRPr="003C243E">
        <w:rPr>
          <w:szCs w:val="20"/>
          <w:lang w:val="de-DE"/>
        </w:rPr>
        <w:t>46.</w:t>
      </w:r>
    </w:p>
    <w:p w14:paraId="79EE619F" w14:textId="565CEFFD" w:rsidR="00CF6C7C" w:rsidRPr="003C243E" w:rsidRDefault="006F7294" w:rsidP="00BC79C1">
      <w:pPr>
        <w:pStyle w:val="KnigNeu"/>
        <w:ind w:left="397" w:hanging="397"/>
        <w:rPr>
          <w:rStyle w:val="definition"/>
          <w:rFonts w:eastAsia="Calibri"/>
          <w:bCs/>
          <w:i/>
          <w:szCs w:val="20"/>
          <w:lang w:val="de-DE"/>
        </w:rPr>
      </w:pPr>
      <w:r w:rsidRPr="003C243E">
        <w:rPr>
          <w:szCs w:val="20"/>
          <w:lang w:val="de-DE"/>
        </w:rPr>
        <w:t>Adelson, Leslie A</w:t>
      </w:r>
      <w:r w:rsidR="00CF6C7C" w:rsidRPr="003C243E">
        <w:rPr>
          <w:szCs w:val="20"/>
          <w:lang w:val="de-DE"/>
        </w:rPr>
        <w:t xml:space="preserve">: </w:t>
      </w:r>
      <w:r w:rsidR="00CF6C7C" w:rsidRPr="003C243E">
        <w:rPr>
          <w:rStyle w:val="definition"/>
          <w:rFonts w:eastAsia="Calibri"/>
          <w:bCs/>
          <w:i/>
          <w:szCs w:val="20"/>
          <w:lang w:val="de-DE"/>
        </w:rPr>
        <w:t>The Turkish Turn in Contemporary German Literature: Toward a New Critical Grammar of Migration</w:t>
      </w:r>
      <w:r w:rsidR="00CF6C7C" w:rsidRPr="003C243E">
        <w:rPr>
          <w:szCs w:val="20"/>
          <w:lang w:val="de-DE"/>
        </w:rPr>
        <w:t xml:space="preserve">. New York: </w:t>
      </w:r>
      <w:r w:rsidR="00CF6C7C" w:rsidRPr="003C243E">
        <w:rPr>
          <w:rStyle w:val="definition"/>
          <w:rFonts w:eastAsia="Calibri"/>
          <w:bCs/>
          <w:szCs w:val="20"/>
          <w:lang w:val="de-DE"/>
        </w:rPr>
        <w:t>Palgrave Macmillan</w:t>
      </w:r>
      <w:r w:rsidR="00CF6C7C" w:rsidRPr="003C243E">
        <w:rPr>
          <w:szCs w:val="20"/>
          <w:lang w:val="de-DE"/>
        </w:rPr>
        <w:t xml:space="preserve"> 2005.</w:t>
      </w:r>
    </w:p>
    <w:p w14:paraId="49241C0E" w14:textId="07A49DE9" w:rsidR="00CF6C7C" w:rsidRPr="003C243E" w:rsidRDefault="00CF6C7C" w:rsidP="00BC79C1">
      <w:pPr>
        <w:pStyle w:val="KnigNeu"/>
        <w:ind w:left="397" w:hanging="397"/>
        <w:rPr>
          <w:szCs w:val="20"/>
          <w:lang w:val="de-DE"/>
        </w:rPr>
      </w:pPr>
      <w:r w:rsidRPr="003C243E">
        <w:rPr>
          <w:szCs w:val="20"/>
          <w:lang w:val="de-DE"/>
        </w:rPr>
        <w:t>Adorno, Theodor W</w:t>
      </w:r>
      <w:r w:rsidR="00C47094" w:rsidRPr="003C243E">
        <w:rPr>
          <w:szCs w:val="20"/>
          <w:lang w:val="de-DE"/>
        </w:rPr>
        <w:t>iesengrund</w:t>
      </w:r>
      <w:r w:rsidRPr="003C243E">
        <w:rPr>
          <w:szCs w:val="20"/>
          <w:lang w:val="de-DE"/>
        </w:rPr>
        <w:t xml:space="preserve">: </w:t>
      </w:r>
      <w:r w:rsidRPr="003C243E">
        <w:rPr>
          <w:i/>
          <w:szCs w:val="20"/>
          <w:lang w:val="de-DE"/>
        </w:rPr>
        <w:t>Negative Dialektik</w:t>
      </w:r>
      <w:r w:rsidRPr="003C243E">
        <w:rPr>
          <w:szCs w:val="20"/>
          <w:lang w:val="de-DE"/>
        </w:rPr>
        <w:t>. Frankfurt a. M.: Suhrkamp 1966.</w:t>
      </w:r>
    </w:p>
    <w:p w14:paraId="09551257" w14:textId="438C410F" w:rsidR="00CF6C7C" w:rsidRPr="003C243E" w:rsidRDefault="00CF6C7C" w:rsidP="00BC79C1">
      <w:pPr>
        <w:pStyle w:val="KnigNeu"/>
        <w:ind w:left="397" w:hanging="397"/>
        <w:rPr>
          <w:rStyle w:val="definition"/>
          <w:rFonts w:eastAsia="Calibri"/>
          <w:bCs/>
          <w:szCs w:val="20"/>
          <w:lang w:val="de-DE"/>
        </w:rPr>
      </w:pPr>
      <w:r w:rsidRPr="003C243E">
        <w:rPr>
          <w:szCs w:val="20"/>
          <w:lang w:val="de-DE"/>
        </w:rPr>
        <w:lastRenderedPageBreak/>
        <w:t xml:space="preserve">Bauer, Thomas: </w:t>
      </w:r>
      <w:r w:rsidRPr="003C243E">
        <w:rPr>
          <w:i/>
          <w:szCs w:val="20"/>
          <w:lang w:val="de-DE"/>
        </w:rPr>
        <w:t>Die Kultur der Ambiguität: Eine andere Geschichte des Islams</w:t>
      </w:r>
      <w:r w:rsidRPr="003C243E">
        <w:rPr>
          <w:szCs w:val="20"/>
          <w:lang w:val="de-DE"/>
        </w:rPr>
        <w:t>. Berlin: Insel 2011</w:t>
      </w:r>
      <w:r w:rsidRPr="003C243E">
        <w:rPr>
          <w:rStyle w:val="definition"/>
          <w:rFonts w:eastAsia="Calibri"/>
          <w:bCs/>
          <w:szCs w:val="20"/>
          <w:lang w:val="de-DE"/>
        </w:rPr>
        <w:t>.</w:t>
      </w:r>
    </w:p>
    <w:p w14:paraId="76A8B22A" w14:textId="4CF35706" w:rsidR="004B2602" w:rsidRPr="003C243E" w:rsidRDefault="004B2602" w:rsidP="004B2602">
      <w:pPr>
        <w:pStyle w:val="KnigNeu"/>
        <w:ind w:left="397" w:hanging="397"/>
        <w:rPr>
          <w:lang w:val="de-DE"/>
        </w:rPr>
      </w:pPr>
      <w:r w:rsidRPr="003C243E">
        <w:rPr>
          <w:lang w:val="de-DE"/>
        </w:rPr>
        <w:t xml:space="preserve">Brecht, Bertolt. In: Reinhold Grimm / Coroline Molina y Vedia (Hg.): </w:t>
      </w:r>
      <w:r w:rsidRPr="003C243E">
        <w:rPr>
          <w:i/>
          <w:lang w:val="de-DE"/>
        </w:rPr>
        <w:t>Bertolt Brecht: Poetry and Prose</w:t>
      </w:r>
      <w:r w:rsidRPr="003C243E">
        <w:rPr>
          <w:lang w:val="de-DE"/>
        </w:rPr>
        <w:t>, New York: Continuum 2003.</w:t>
      </w:r>
    </w:p>
    <w:p w14:paraId="2E5E533A" w14:textId="08CFFAB1" w:rsidR="00781B18" w:rsidRPr="007916D6" w:rsidRDefault="00781B18" w:rsidP="004B2602">
      <w:pPr>
        <w:pStyle w:val="KnigNeu"/>
        <w:ind w:left="397" w:hanging="397"/>
        <w:rPr>
          <w:rStyle w:val="definition"/>
          <w:rFonts w:eastAsia="Calibri"/>
          <w:bCs/>
          <w:szCs w:val="20"/>
          <w:lang w:val="de-DE"/>
        </w:rPr>
      </w:pPr>
      <w:r w:rsidRPr="003C243E">
        <w:rPr>
          <w:lang w:val="de-DE"/>
        </w:rPr>
        <w:t xml:space="preserve">Emre, Yunus, </w:t>
      </w:r>
      <w:r w:rsidRPr="003C243E">
        <w:rPr>
          <w:i/>
          <w:lang w:val="de-DE"/>
        </w:rPr>
        <w:t>Das Kummerrad / Dertli Dolap</w:t>
      </w:r>
      <w:r w:rsidRPr="003C243E">
        <w:rPr>
          <w:lang w:val="de-DE"/>
        </w:rPr>
        <w:t>. Übers. von Zafer Şenocak. Frankfurt a.M: Dağyeli 1986.</w:t>
      </w:r>
    </w:p>
    <w:p w14:paraId="1FAD5180" w14:textId="514AB701" w:rsidR="00CF6C7C" w:rsidRPr="003C243E" w:rsidRDefault="00CF6C7C" w:rsidP="00BC79C1">
      <w:pPr>
        <w:pStyle w:val="KnigNeu"/>
        <w:ind w:left="397" w:hanging="397"/>
        <w:rPr>
          <w:rFonts w:cs="Times New Roman"/>
          <w:i/>
          <w:szCs w:val="20"/>
          <w:lang w:val="de-DE"/>
        </w:rPr>
      </w:pPr>
      <w:r w:rsidRPr="003C243E">
        <w:rPr>
          <w:rFonts w:cs="Times New Roman"/>
          <w:szCs w:val="20"/>
          <w:lang w:val="de-DE"/>
        </w:rPr>
        <w:t xml:space="preserve">Konzett, Matthias </w:t>
      </w:r>
      <w:r w:rsidR="00C47094" w:rsidRPr="003C243E">
        <w:rPr>
          <w:rFonts w:cs="Times New Roman"/>
          <w:szCs w:val="20"/>
          <w:lang w:val="de-DE"/>
        </w:rPr>
        <w:t xml:space="preserve">/ </w:t>
      </w:r>
      <w:r w:rsidRPr="003C243E">
        <w:rPr>
          <w:rFonts w:cs="Times New Roman"/>
          <w:szCs w:val="20"/>
          <w:lang w:val="de-DE"/>
        </w:rPr>
        <w:t xml:space="preserve">Zafer Şenocak: „Zafer Şenocak im Gespräch“. In: </w:t>
      </w:r>
      <w:r w:rsidRPr="003C243E">
        <w:rPr>
          <w:rFonts w:cs="Times New Roman"/>
          <w:i/>
          <w:szCs w:val="20"/>
          <w:lang w:val="de-DE"/>
        </w:rPr>
        <w:t>The German Quarterly</w:t>
      </w:r>
      <w:r w:rsidRPr="003C243E">
        <w:rPr>
          <w:rFonts w:cs="Times New Roman"/>
          <w:szCs w:val="20"/>
          <w:lang w:val="de-DE"/>
        </w:rPr>
        <w:t xml:space="preserve"> 76.2 (2003), </w:t>
      </w:r>
      <w:r w:rsidR="00651293" w:rsidRPr="003C243E">
        <w:rPr>
          <w:szCs w:val="20"/>
          <w:lang w:val="de-DE"/>
        </w:rPr>
        <w:t>131–</w:t>
      </w:r>
      <w:r w:rsidR="00B657B4" w:rsidRPr="003C243E">
        <w:rPr>
          <w:szCs w:val="20"/>
          <w:lang w:val="de-DE"/>
        </w:rPr>
        <w:t>1</w:t>
      </w:r>
      <w:r w:rsidRPr="003C243E">
        <w:rPr>
          <w:szCs w:val="20"/>
          <w:lang w:val="de-DE"/>
        </w:rPr>
        <w:t>39</w:t>
      </w:r>
      <w:r w:rsidRPr="003C243E">
        <w:rPr>
          <w:rFonts w:cs="Times New Roman"/>
          <w:szCs w:val="20"/>
          <w:lang w:val="de-DE"/>
        </w:rPr>
        <w:t>.</w:t>
      </w:r>
    </w:p>
    <w:p w14:paraId="571C5053" w14:textId="64445808" w:rsidR="00CF6C7C" w:rsidRPr="003C243E" w:rsidRDefault="00CF6C7C" w:rsidP="00BC79C1">
      <w:pPr>
        <w:pStyle w:val="KnigNeu"/>
        <w:ind w:left="397" w:hanging="397"/>
        <w:rPr>
          <w:rStyle w:val="definition"/>
          <w:szCs w:val="20"/>
          <w:lang w:val="de-DE"/>
        </w:rPr>
      </w:pPr>
      <w:r w:rsidRPr="003C243E">
        <w:rPr>
          <w:szCs w:val="20"/>
          <w:lang w:val="de-DE"/>
        </w:rPr>
        <w:t xml:space="preserve">Littler, Margaret: „Der Islam im Werk von Zafer Şenocak: </w:t>
      </w:r>
      <w:r w:rsidRPr="003C243E">
        <w:rPr>
          <w:i/>
          <w:szCs w:val="20"/>
          <w:lang w:val="de-DE"/>
        </w:rPr>
        <w:t>Der Pavillon</w:t>
      </w:r>
      <w:r w:rsidRPr="003C243E">
        <w:rPr>
          <w:szCs w:val="20"/>
          <w:lang w:val="de-DE"/>
        </w:rPr>
        <w:t xml:space="preserve">“. In: Michael Hofmann </w:t>
      </w:r>
      <w:r w:rsidR="00C47094" w:rsidRPr="003C243E">
        <w:rPr>
          <w:szCs w:val="20"/>
          <w:lang w:val="de-DE"/>
        </w:rPr>
        <w:t xml:space="preserve">/ </w:t>
      </w:r>
      <w:r w:rsidRPr="003C243E">
        <w:rPr>
          <w:szCs w:val="20"/>
          <w:lang w:val="de-DE"/>
        </w:rPr>
        <w:t xml:space="preserve">Klaus von Stosch (Hg.): </w:t>
      </w:r>
      <w:r w:rsidRPr="003C243E">
        <w:rPr>
          <w:i/>
          <w:szCs w:val="20"/>
          <w:lang w:val="de-DE"/>
        </w:rPr>
        <w:t>Islam in der deutschen und türkischen Literatur</w:t>
      </w:r>
      <w:r w:rsidRPr="003C243E">
        <w:rPr>
          <w:szCs w:val="20"/>
          <w:lang w:val="de-DE"/>
        </w:rPr>
        <w:t>. Paderborn: Schöni</w:t>
      </w:r>
      <w:r w:rsidR="00651293" w:rsidRPr="003C243E">
        <w:rPr>
          <w:szCs w:val="20"/>
          <w:lang w:val="de-DE"/>
        </w:rPr>
        <w:t>ngh 2012, 139–</w:t>
      </w:r>
      <w:r w:rsidR="00B657B4" w:rsidRPr="003C243E">
        <w:rPr>
          <w:szCs w:val="20"/>
          <w:lang w:val="de-DE"/>
        </w:rPr>
        <w:t>1</w:t>
      </w:r>
      <w:r w:rsidRPr="003C243E">
        <w:rPr>
          <w:szCs w:val="20"/>
          <w:lang w:val="de-DE"/>
        </w:rPr>
        <w:t>52.</w:t>
      </w:r>
    </w:p>
    <w:p w14:paraId="74425C29" w14:textId="6016923B" w:rsidR="00CF6C7C" w:rsidRPr="003C243E" w:rsidRDefault="00CF6C7C" w:rsidP="00BC79C1">
      <w:pPr>
        <w:pStyle w:val="KnigNeu"/>
        <w:ind w:left="397" w:hanging="397"/>
        <w:rPr>
          <w:rStyle w:val="definition"/>
          <w:szCs w:val="20"/>
          <w:lang w:val="de-DE"/>
        </w:rPr>
      </w:pPr>
      <w:r w:rsidRPr="003C243E">
        <w:rPr>
          <w:szCs w:val="20"/>
          <w:lang w:val="de-DE"/>
        </w:rPr>
        <w:t xml:space="preserve">Jean-Luc Nancy: </w:t>
      </w:r>
      <w:r w:rsidRPr="003C243E">
        <w:rPr>
          <w:i/>
          <w:szCs w:val="20"/>
          <w:lang w:val="de-DE"/>
        </w:rPr>
        <w:t>Dekonstruktion des Christentums</w:t>
      </w:r>
      <w:r w:rsidR="004A0FF4" w:rsidRPr="003C243E">
        <w:rPr>
          <w:szCs w:val="20"/>
          <w:lang w:val="de-DE"/>
        </w:rPr>
        <w:t>.</w:t>
      </w:r>
      <w:r w:rsidRPr="003C243E">
        <w:rPr>
          <w:i/>
          <w:szCs w:val="20"/>
          <w:lang w:val="de-DE"/>
        </w:rPr>
        <w:t xml:space="preserve"> </w:t>
      </w:r>
      <w:r w:rsidR="00E030D2" w:rsidRPr="003C243E">
        <w:rPr>
          <w:szCs w:val="20"/>
          <w:lang w:val="de-DE"/>
        </w:rPr>
        <w:t>Ü</w:t>
      </w:r>
      <w:r w:rsidRPr="003C243E">
        <w:rPr>
          <w:szCs w:val="20"/>
          <w:lang w:val="de-DE"/>
        </w:rPr>
        <w:t>bers. von Esther von der Osten. Zür</w:t>
      </w:r>
      <w:r w:rsidR="00917BEE" w:rsidRPr="003C243E">
        <w:rPr>
          <w:szCs w:val="20"/>
          <w:lang w:val="de-DE"/>
        </w:rPr>
        <w:t>i</w:t>
      </w:r>
      <w:r w:rsidRPr="003C243E">
        <w:rPr>
          <w:szCs w:val="20"/>
          <w:lang w:val="de-DE"/>
        </w:rPr>
        <w:t>ch: diaphanes 2008.</w:t>
      </w:r>
    </w:p>
    <w:p w14:paraId="30D69332" w14:textId="466FA895" w:rsidR="00CF6C7C" w:rsidRPr="003C243E" w:rsidRDefault="006F7294" w:rsidP="00BC79C1">
      <w:pPr>
        <w:pStyle w:val="KnigNeu"/>
        <w:ind w:left="397" w:hanging="397"/>
        <w:rPr>
          <w:szCs w:val="20"/>
          <w:lang w:val="de-DE"/>
        </w:rPr>
      </w:pPr>
      <w:r w:rsidRPr="003C243E">
        <w:rPr>
          <w:szCs w:val="20"/>
          <w:lang w:val="de-DE"/>
        </w:rPr>
        <w:t>Jean-Luc Nancy</w:t>
      </w:r>
      <w:r w:rsidR="00CF6C7C" w:rsidRPr="003C243E">
        <w:rPr>
          <w:szCs w:val="20"/>
          <w:lang w:val="de-DE"/>
        </w:rPr>
        <w:t xml:space="preserve">: „Lob der Vermischung“. In: </w:t>
      </w:r>
      <w:r w:rsidR="00CF6C7C" w:rsidRPr="003C243E">
        <w:rPr>
          <w:i/>
          <w:szCs w:val="20"/>
          <w:lang w:val="de-DE"/>
        </w:rPr>
        <w:t>Lettre International</w:t>
      </w:r>
      <w:r w:rsidR="00651293" w:rsidRPr="003C243E">
        <w:rPr>
          <w:szCs w:val="20"/>
          <w:lang w:val="de-DE"/>
        </w:rPr>
        <w:t xml:space="preserve"> 21 (1993), 4–</w:t>
      </w:r>
      <w:r w:rsidR="00CF6C7C" w:rsidRPr="003C243E">
        <w:rPr>
          <w:szCs w:val="20"/>
          <w:lang w:val="de-DE"/>
        </w:rPr>
        <w:t>7.</w:t>
      </w:r>
    </w:p>
    <w:p w14:paraId="32D9BA35" w14:textId="44A336A4" w:rsidR="00CF6C7C" w:rsidRPr="003C243E" w:rsidRDefault="006F7294" w:rsidP="00BC79C1">
      <w:pPr>
        <w:pStyle w:val="KnigNeu"/>
        <w:ind w:left="397" w:hanging="397"/>
        <w:rPr>
          <w:szCs w:val="20"/>
          <w:lang w:val="de-DE"/>
        </w:rPr>
      </w:pPr>
      <w:r w:rsidRPr="003C243E">
        <w:rPr>
          <w:szCs w:val="20"/>
          <w:lang w:val="de-DE"/>
        </w:rPr>
        <w:t>Jean-Luc Nancy</w:t>
      </w:r>
      <w:r w:rsidR="00CF6C7C" w:rsidRPr="003C243E">
        <w:rPr>
          <w:szCs w:val="20"/>
          <w:lang w:val="de-DE"/>
        </w:rPr>
        <w:t>:</w:t>
      </w:r>
      <w:r w:rsidR="00E05482" w:rsidRPr="003C243E">
        <w:rPr>
          <w:szCs w:val="20"/>
          <w:lang w:val="de-DE"/>
        </w:rPr>
        <w:t xml:space="preserve"> </w:t>
      </w:r>
      <w:r w:rsidR="00CF6C7C" w:rsidRPr="003C243E">
        <w:rPr>
          <w:i/>
          <w:szCs w:val="20"/>
          <w:lang w:val="de-DE"/>
        </w:rPr>
        <w:t>Die</w:t>
      </w:r>
      <w:r w:rsidR="00CF6C7C" w:rsidRPr="003C243E">
        <w:rPr>
          <w:szCs w:val="20"/>
          <w:lang w:val="de-DE"/>
        </w:rPr>
        <w:t xml:space="preserve"> </w:t>
      </w:r>
      <w:r w:rsidR="004A0FF4" w:rsidRPr="003C243E">
        <w:rPr>
          <w:i/>
          <w:szCs w:val="20"/>
          <w:lang w:val="de-DE"/>
        </w:rPr>
        <w:t>u</w:t>
      </w:r>
      <w:r w:rsidR="00CF6C7C" w:rsidRPr="003C243E">
        <w:rPr>
          <w:i/>
          <w:szCs w:val="20"/>
          <w:lang w:val="de-DE"/>
        </w:rPr>
        <w:t>ndarstellbare Gemeinschaft</w:t>
      </w:r>
      <w:r w:rsidR="008C471A" w:rsidRPr="003C243E">
        <w:rPr>
          <w:i/>
          <w:szCs w:val="20"/>
          <w:lang w:val="de-DE"/>
        </w:rPr>
        <w:t>.</w:t>
      </w:r>
      <w:r w:rsidR="00CF6C7C" w:rsidRPr="003C243E">
        <w:rPr>
          <w:szCs w:val="20"/>
          <w:lang w:val="de-DE"/>
        </w:rPr>
        <w:t xml:space="preserve"> </w:t>
      </w:r>
      <w:r w:rsidR="008C471A" w:rsidRPr="003C243E">
        <w:rPr>
          <w:szCs w:val="20"/>
          <w:lang w:val="de-DE"/>
        </w:rPr>
        <w:t>Ü</w:t>
      </w:r>
      <w:r w:rsidR="00CF6C7C" w:rsidRPr="003C243E">
        <w:rPr>
          <w:szCs w:val="20"/>
          <w:lang w:val="de-DE"/>
        </w:rPr>
        <w:t>bers. von Gisela Febel und Jutta Legueil. Stuttgart: Edition Patricia Schwarz 1988.</w:t>
      </w:r>
    </w:p>
    <w:p w14:paraId="65C9634F" w14:textId="1444AF18" w:rsidR="00CF6C7C" w:rsidRPr="003C243E" w:rsidRDefault="00CF6C7C" w:rsidP="00BC79C1">
      <w:pPr>
        <w:pStyle w:val="KnigNeu"/>
        <w:ind w:left="397" w:hanging="397"/>
        <w:rPr>
          <w:szCs w:val="20"/>
          <w:lang w:val="de-DE"/>
        </w:rPr>
      </w:pPr>
      <w:r w:rsidRPr="003C243E">
        <w:rPr>
          <w:szCs w:val="20"/>
          <w:lang w:val="de-DE"/>
        </w:rPr>
        <w:t xml:space="preserve">Nelson, Erika M: „A Path of Poetic Potentials: Coordinates of German Lyric Identity in the Poetry of Zafer Şenocak“. In: </w:t>
      </w:r>
      <w:r w:rsidRPr="003C243E">
        <w:rPr>
          <w:szCs w:val="20"/>
          <w:shd w:val="clear" w:color="auto" w:fill="FFFFFF"/>
          <w:lang w:val="de-DE"/>
        </w:rPr>
        <w:t xml:space="preserve">Katharina Gerstenberger </w:t>
      </w:r>
      <w:r w:rsidR="008A317D" w:rsidRPr="003C243E">
        <w:rPr>
          <w:szCs w:val="20"/>
          <w:shd w:val="clear" w:color="auto" w:fill="FFFFFF"/>
          <w:lang w:val="de-DE"/>
        </w:rPr>
        <w:t xml:space="preserve">/ </w:t>
      </w:r>
      <w:r w:rsidRPr="003C243E">
        <w:rPr>
          <w:szCs w:val="20"/>
          <w:shd w:val="clear" w:color="auto" w:fill="FFFFFF"/>
          <w:lang w:val="de-DE"/>
        </w:rPr>
        <w:t>Patricia Herminghouse</w:t>
      </w:r>
      <w:r w:rsidRPr="003C243E">
        <w:rPr>
          <w:szCs w:val="20"/>
          <w:lang w:val="de-DE"/>
        </w:rPr>
        <w:t xml:space="preserve"> (Hg.): </w:t>
      </w:r>
      <w:r w:rsidRPr="003C243E">
        <w:rPr>
          <w:i/>
          <w:szCs w:val="20"/>
          <w:lang w:val="de-DE"/>
        </w:rPr>
        <w:t>German Literature in a New Century:</w:t>
      </w:r>
      <w:r w:rsidRPr="003C243E">
        <w:rPr>
          <w:szCs w:val="20"/>
          <w:shd w:val="clear" w:color="auto" w:fill="FFFFFF"/>
          <w:lang w:val="de-DE"/>
        </w:rPr>
        <w:t xml:space="preserve"> </w:t>
      </w:r>
      <w:r w:rsidRPr="003C243E">
        <w:rPr>
          <w:i/>
          <w:szCs w:val="20"/>
          <w:shd w:val="clear" w:color="auto" w:fill="FFFFFF"/>
          <w:lang w:val="de-DE"/>
        </w:rPr>
        <w:t>Trends, Traditions, Transitions, Transformations</w:t>
      </w:r>
      <w:r w:rsidR="008A317D" w:rsidRPr="003C243E">
        <w:rPr>
          <w:szCs w:val="20"/>
          <w:shd w:val="clear" w:color="auto" w:fill="FFFFFF"/>
          <w:lang w:val="de-DE"/>
        </w:rPr>
        <w:t>.</w:t>
      </w:r>
      <w:r w:rsidRPr="003C243E">
        <w:rPr>
          <w:szCs w:val="20"/>
          <w:shd w:val="clear" w:color="auto" w:fill="FFFFFF"/>
          <w:lang w:val="de-DE"/>
        </w:rPr>
        <w:t xml:space="preserve"> </w:t>
      </w:r>
      <w:r w:rsidR="00651293" w:rsidRPr="003C243E">
        <w:rPr>
          <w:szCs w:val="20"/>
          <w:lang w:val="de-DE"/>
        </w:rPr>
        <w:t>New York: Berghahn 2008, 158–</w:t>
      </w:r>
      <w:r w:rsidR="00B657B4" w:rsidRPr="003C243E">
        <w:rPr>
          <w:szCs w:val="20"/>
          <w:lang w:val="de-DE"/>
        </w:rPr>
        <w:t>1</w:t>
      </w:r>
      <w:r w:rsidRPr="003C243E">
        <w:rPr>
          <w:szCs w:val="20"/>
          <w:lang w:val="de-DE"/>
        </w:rPr>
        <w:t>77</w:t>
      </w:r>
      <w:r w:rsidR="00651293" w:rsidRPr="003C243E">
        <w:rPr>
          <w:szCs w:val="20"/>
          <w:lang w:val="de-DE"/>
        </w:rPr>
        <w:t>.</w:t>
      </w:r>
    </w:p>
    <w:p w14:paraId="79F3C8A7" w14:textId="77777777" w:rsidR="00CF6C7C" w:rsidRPr="003C243E" w:rsidRDefault="00CF6C7C" w:rsidP="00BC79C1">
      <w:pPr>
        <w:pStyle w:val="KnigNeu"/>
        <w:ind w:left="397" w:hanging="397"/>
        <w:rPr>
          <w:rFonts w:cs="Times New Roman"/>
          <w:szCs w:val="20"/>
          <w:lang w:val="de-DE"/>
        </w:rPr>
      </w:pPr>
      <w:r w:rsidRPr="003C243E">
        <w:rPr>
          <w:rFonts w:cs="Times New Roman"/>
          <w:szCs w:val="20"/>
          <w:lang w:val="de-DE"/>
        </w:rPr>
        <w:t xml:space="preserve">Schoene, Berthold: </w:t>
      </w:r>
      <w:r w:rsidRPr="003C243E">
        <w:rPr>
          <w:rFonts w:eastAsia="Calibri" w:cs="Times New Roman"/>
          <w:i/>
          <w:szCs w:val="20"/>
          <w:lang w:val="de-DE"/>
        </w:rPr>
        <w:t>The Cosmopolitan Novel</w:t>
      </w:r>
      <w:r w:rsidRPr="003C243E">
        <w:rPr>
          <w:rFonts w:eastAsia="Calibri" w:cs="Times New Roman"/>
          <w:szCs w:val="20"/>
          <w:lang w:val="de-DE"/>
        </w:rPr>
        <w:t>. Edinburgh: Edinburgh University Press 2010.</w:t>
      </w:r>
    </w:p>
    <w:p w14:paraId="1865B1A5" w14:textId="575DB354" w:rsidR="00CF6C7C" w:rsidRPr="003C243E" w:rsidRDefault="00CF6C7C" w:rsidP="00BC79C1">
      <w:pPr>
        <w:pStyle w:val="KnigNeu"/>
        <w:ind w:left="397" w:hanging="397"/>
        <w:rPr>
          <w:szCs w:val="20"/>
          <w:lang w:val="de-DE"/>
        </w:rPr>
      </w:pPr>
      <w:r w:rsidRPr="003C243E">
        <w:rPr>
          <w:szCs w:val="20"/>
          <w:lang w:val="de-DE"/>
        </w:rPr>
        <w:t xml:space="preserve">Segelcke, Elke: „Jenseits von ‚Eigenem‘ und ‚Fremdem‘: Zu Europabild und nomadischer Schreibstrategie Şenocaks“. In: </w:t>
      </w:r>
      <w:r w:rsidRPr="003C243E">
        <w:rPr>
          <w:i/>
          <w:szCs w:val="20"/>
          <w:lang w:val="de-DE"/>
        </w:rPr>
        <w:t>Gegenwartsliteratur</w:t>
      </w:r>
      <w:r w:rsidR="00651293" w:rsidRPr="003C243E">
        <w:rPr>
          <w:szCs w:val="20"/>
          <w:lang w:val="de-DE"/>
        </w:rPr>
        <w:t xml:space="preserve"> 8 (2009), 170–</w:t>
      </w:r>
      <w:r w:rsidR="00B657B4" w:rsidRPr="003C243E">
        <w:rPr>
          <w:szCs w:val="20"/>
          <w:lang w:val="de-DE"/>
        </w:rPr>
        <w:t>1</w:t>
      </w:r>
      <w:r w:rsidRPr="003C243E">
        <w:rPr>
          <w:szCs w:val="20"/>
          <w:lang w:val="de-DE"/>
        </w:rPr>
        <w:t>91.</w:t>
      </w:r>
    </w:p>
    <w:p w14:paraId="105CCDE7" w14:textId="77777777" w:rsidR="00CF6C7C" w:rsidRPr="003C243E" w:rsidRDefault="00CF6C7C" w:rsidP="00BC79C1">
      <w:pPr>
        <w:pStyle w:val="KnigNeu"/>
        <w:ind w:left="397" w:hanging="397"/>
        <w:rPr>
          <w:szCs w:val="20"/>
          <w:lang w:val="de-DE"/>
        </w:rPr>
      </w:pPr>
      <w:r w:rsidRPr="003C243E">
        <w:rPr>
          <w:szCs w:val="20"/>
          <w:lang w:val="de-DE"/>
        </w:rPr>
        <w:t xml:space="preserve">Şenocak, Zafer: </w:t>
      </w:r>
      <w:r w:rsidRPr="003C243E">
        <w:rPr>
          <w:i/>
          <w:szCs w:val="20"/>
          <w:lang w:val="de-DE"/>
        </w:rPr>
        <w:t>Deutschsein: Eine Aufklärungsschrift</w:t>
      </w:r>
      <w:r w:rsidRPr="003C243E">
        <w:rPr>
          <w:szCs w:val="20"/>
          <w:lang w:val="de-DE"/>
        </w:rPr>
        <w:t>. Hamburg: Edition Körber-Stiftung 2011.</w:t>
      </w:r>
    </w:p>
    <w:p w14:paraId="5353CAEB" w14:textId="44741B9A" w:rsidR="00CF6C7C" w:rsidRPr="003C243E" w:rsidRDefault="006F7294" w:rsidP="00BC79C1">
      <w:pPr>
        <w:pStyle w:val="KnigNeu"/>
        <w:ind w:left="397" w:hanging="397"/>
        <w:rPr>
          <w:szCs w:val="20"/>
          <w:lang w:val="de-DE"/>
        </w:rPr>
      </w:pPr>
      <w:r w:rsidRPr="003C243E">
        <w:rPr>
          <w:szCs w:val="20"/>
          <w:lang w:val="de-DE"/>
        </w:rPr>
        <w:t>Şenocak, Zafer</w:t>
      </w:r>
      <w:r w:rsidR="00CF6C7C" w:rsidRPr="003C243E">
        <w:rPr>
          <w:szCs w:val="20"/>
          <w:lang w:val="de-DE"/>
        </w:rPr>
        <w:t xml:space="preserve">: </w:t>
      </w:r>
      <w:r w:rsidR="00CF6C7C" w:rsidRPr="003C243E">
        <w:rPr>
          <w:i/>
          <w:szCs w:val="20"/>
          <w:lang w:val="de-DE"/>
        </w:rPr>
        <w:t>Das Land hinter den Buchstaben: Deutschland und der Islam im Umbruch</w:t>
      </w:r>
      <w:r w:rsidR="00CF6C7C" w:rsidRPr="003C243E">
        <w:rPr>
          <w:szCs w:val="20"/>
          <w:lang w:val="de-DE"/>
        </w:rPr>
        <w:t>. München: Babel 2006.</w:t>
      </w:r>
    </w:p>
    <w:p w14:paraId="509C7575" w14:textId="3553BD9C" w:rsidR="00CF6C7C" w:rsidRPr="003C243E" w:rsidRDefault="006F7294" w:rsidP="00BC79C1">
      <w:pPr>
        <w:pStyle w:val="KnigNeu"/>
        <w:ind w:left="397" w:hanging="397"/>
        <w:rPr>
          <w:color w:val="000000"/>
          <w:szCs w:val="20"/>
          <w:lang w:val="de-DE"/>
        </w:rPr>
      </w:pPr>
      <w:r w:rsidRPr="003C243E">
        <w:rPr>
          <w:szCs w:val="20"/>
          <w:lang w:val="de-DE"/>
        </w:rPr>
        <w:t>Şenocak, Zafer</w:t>
      </w:r>
      <w:r w:rsidR="00CF6C7C" w:rsidRPr="003C243E">
        <w:rPr>
          <w:szCs w:val="20"/>
          <w:lang w:val="de-DE"/>
        </w:rPr>
        <w:t>:</w:t>
      </w:r>
      <w:r w:rsidR="00CF6C7C" w:rsidRPr="003C243E">
        <w:rPr>
          <w:i/>
          <w:color w:val="000000"/>
          <w:szCs w:val="20"/>
          <w:lang w:val="de-DE"/>
        </w:rPr>
        <w:t>Übergang</w:t>
      </w:r>
      <w:r w:rsidR="00CF6C7C" w:rsidRPr="003C243E">
        <w:rPr>
          <w:color w:val="000000"/>
          <w:szCs w:val="20"/>
          <w:lang w:val="de-DE"/>
        </w:rPr>
        <w:t>. München: Babel 2005.</w:t>
      </w:r>
    </w:p>
    <w:p w14:paraId="1D52EC69" w14:textId="689DDB44" w:rsidR="00CF6C7C" w:rsidRPr="003C243E" w:rsidRDefault="006F7294" w:rsidP="00BC79C1">
      <w:pPr>
        <w:pStyle w:val="KnigNeu"/>
        <w:ind w:left="397" w:hanging="397"/>
        <w:rPr>
          <w:color w:val="000000"/>
          <w:szCs w:val="20"/>
          <w:lang w:val="de-DE"/>
        </w:rPr>
      </w:pPr>
      <w:r w:rsidRPr="003C243E">
        <w:rPr>
          <w:szCs w:val="20"/>
          <w:lang w:val="de-DE"/>
        </w:rPr>
        <w:t>Şenocak, Zafer</w:t>
      </w:r>
      <w:r w:rsidR="00CF6C7C" w:rsidRPr="003C243E">
        <w:rPr>
          <w:szCs w:val="20"/>
          <w:lang w:val="de-DE"/>
        </w:rPr>
        <w:t xml:space="preserve">: </w:t>
      </w:r>
      <w:r w:rsidR="00CF6C7C" w:rsidRPr="003C243E">
        <w:rPr>
          <w:i/>
          <w:szCs w:val="20"/>
          <w:lang w:val="de-DE"/>
        </w:rPr>
        <w:t>Zungenentfernung: Bericht aus der Quarantänestation</w:t>
      </w:r>
      <w:r w:rsidR="00CF6C7C" w:rsidRPr="003C243E">
        <w:rPr>
          <w:szCs w:val="20"/>
          <w:lang w:val="de-DE"/>
        </w:rPr>
        <w:t xml:space="preserve">. </w:t>
      </w:r>
      <w:r w:rsidR="00CF6C7C" w:rsidRPr="003C243E">
        <w:rPr>
          <w:color w:val="000000"/>
          <w:szCs w:val="20"/>
          <w:lang w:val="de-DE"/>
        </w:rPr>
        <w:t>München: Babel</w:t>
      </w:r>
      <w:r w:rsidR="00CF6C7C" w:rsidRPr="003C243E">
        <w:rPr>
          <w:szCs w:val="20"/>
          <w:lang w:val="de-DE"/>
        </w:rPr>
        <w:t xml:space="preserve"> 2001.</w:t>
      </w:r>
    </w:p>
    <w:p w14:paraId="114448FF" w14:textId="0AF1B87E" w:rsidR="00CF6C7C" w:rsidRPr="003C243E" w:rsidRDefault="006F7294" w:rsidP="00BC79C1">
      <w:pPr>
        <w:pStyle w:val="KnigNeu"/>
        <w:ind w:left="397" w:hanging="397"/>
        <w:rPr>
          <w:rStyle w:val="definition"/>
          <w:rFonts w:eastAsia="Calibri"/>
          <w:bCs/>
          <w:szCs w:val="20"/>
          <w:lang w:val="de-DE"/>
        </w:rPr>
      </w:pPr>
      <w:r w:rsidRPr="003C243E">
        <w:rPr>
          <w:szCs w:val="20"/>
          <w:lang w:val="de-DE"/>
        </w:rPr>
        <w:t>Şenocak, Zafer</w:t>
      </w:r>
      <w:r w:rsidR="00CF6C7C" w:rsidRPr="003C243E">
        <w:rPr>
          <w:szCs w:val="20"/>
          <w:lang w:val="de-DE"/>
        </w:rPr>
        <w:t>:</w:t>
      </w:r>
      <w:r w:rsidR="00CF6C7C" w:rsidRPr="003C243E">
        <w:rPr>
          <w:i/>
          <w:szCs w:val="20"/>
          <w:lang w:val="de-DE"/>
        </w:rPr>
        <w:t>War Hitler Araber? IrreFührungen an den Rand Europas</w:t>
      </w:r>
      <w:r w:rsidR="00CF6C7C" w:rsidRPr="003C243E">
        <w:rPr>
          <w:szCs w:val="20"/>
          <w:lang w:val="de-DE"/>
        </w:rPr>
        <w:t>. Berlin: Babel 1994.</w:t>
      </w:r>
    </w:p>
    <w:p w14:paraId="03B111BE" w14:textId="763F65C1" w:rsidR="00CF6C7C" w:rsidRPr="003C243E" w:rsidRDefault="006F7294" w:rsidP="00BC79C1">
      <w:pPr>
        <w:pStyle w:val="KnigNeu"/>
        <w:ind w:left="397" w:hanging="397"/>
        <w:rPr>
          <w:rFonts w:cs="Times New Roman"/>
          <w:szCs w:val="20"/>
          <w:lang w:val="de-DE"/>
        </w:rPr>
      </w:pPr>
      <w:r w:rsidRPr="003C243E">
        <w:rPr>
          <w:szCs w:val="20"/>
          <w:lang w:val="de-DE"/>
        </w:rPr>
        <w:t>Şenocak, Zafer</w:t>
      </w:r>
      <w:r w:rsidR="00CF6C7C" w:rsidRPr="003C243E">
        <w:rPr>
          <w:szCs w:val="20"/>
          <w:lang w:val="de-DE"/>
        </w:rPr>
        <w:t xml:space="preserve">: </w:t>
      </w:r>
      <w:r w:rsidR="00CF6C7C" w:rsidRPr="003C243E">
        <w:rPr>
          <w:rFonts w:cs="Times New Roman"/>
          <w:i/>
          <w:szCs w:val="20"/>
          <w:lang w:val="de-DE"/>
        </w:rPr>
        <w:t>Atlas des tropischen Deutschland</w:t>
      </w:r>
      <w:r w:rsidR="00CF6C7C" w:rsidRPr="003C243E">
        <w:rPr>
          <w:rFonts w:cs="Times New Roman"/>
          <w:szCs w:val="20"/>
          <w:lang w:val="de-DE"/>
        </w:rPr>
        <w:t>. Berlin: Babel 1993.</w:t>
      </w:r>
    </w:p>
    <w:p w14:paraId="3B0254DB" w14:textId="77A80F49" w:rsidR="00CF6C7C" w:rsidRPr="003C243E" w:rsidRDefault="00CF6C7C" w:rsidP="00BC79C1">
      <w:pPr>
        <w:pStyle w:val="KnigNeu"/>
        <w:ind w:left="397" w:hanging="397"/>
        <w:rPr>
          <w:szCs w:val="20"/>
          <w:lang w:val="de-DE"/>
        </w:rPr>
      </w:pPr>
      <w:r w:rsidRPr="003C243E">
        <w:rPr>
          <w:szCs w:val="20"/>
          <w:lang w:val="de-DE"/>
        </w:rPr>
        <w:t xml:space="preserve">Spielhaus, Reim: „Religion and Identity: How Germany’s foreigners have become Muslims“. In: </w:t>
      </w:r>
      <w:r w:rsidRPr="003C243E">
        <w:rPr>
          <w:i/>
          <w:szCs w:val="20"/>
          <w:lang w:val="de-DE"/>
        </w:rPr>
        <w:t>Internationale Politik</w:t>
      </w:r>
      <w:r w:rsidR="00651293" w:rsidRPr="003C243E">
        <w:rPr>
          <w:szCs w:val="20"/>
          <w:lang w:val="de-DE"/>
        </w:rPr>
        <w:t xml:space="preserve"> 8.2 (2006), 17–</w:t>
      </w:r>
      <w:r w:rsidRPr="003C243E">
        <w:rPr>
          <w:szCs w:val="20"/>
          <w:lang w:val="de-DE"/>
        </w:rPr>
        <w:t>23</w:t>
      </w:r>
      <w:r w:rsidR="00651293" w:rsidRPr="003C243E">
        <w:rPr>
          <w:szCs w:val="20"/>
          <w:lang w:val="de-DE"/>
        </w:rPr>
        <w:t>.</w:t>
      </w:r>
    </w:p>
    <w:p w14:paraId="637E1D30" w14:textId="356961AB" w:rsidR="00CF6C7C" w:rsidRPr="003C243E" w:rsidRDefault="00CF6C7C" w:rsidP="00BC79C1">
      <w:pPr>
        <w:pStyle w:val="KnigNeu"/>
        <w:ind w:left="397" w:hanging="397"/>
        <w:rPr>
          <w:szCs w:val="20"/>
          <w:lang w:val="de-DE"/>
        </w:rPr>
      </w:pPr>
      <w:r w:rsidRPr="003C243E">
        <w:rPr>
          <w:szCs w:val="20"/>
          <w:lang w:val="de-DE"/>
        </w:rPr>
        <w:t>Yeşilada, Karin E</w:t>
      </w:r>
      <w:r w:rsidR="009D07D9" w:rsidRPr="003C243E">
        <w:rPr>
          <w:szCs w:val="20"/>
          <w:lang w:val="de-DE"/>
        </w:rPr>
        <w:t>mine</w:t>
      </w:r>
      <w:r w:rsidRPr="003C243E">
        <w:rPr>
          <w:szCs w:val="20"/>
          <w:lang w:val="de-DE"/>
        </w:rPr>
        <w:t xml:space="preserve">: </w:t>
      </w:r>
      <w:r w:rsidRPr="003C243E">
        <w:rPr>
          <w:i/>
          <w:szCs w:val="20"/>
          <w:lang w:val="de-DE"/>
        </w:rPr>
        <w:t>Poesie der Dritten Sprache: Türkisch-deutsche Lyrik der zweiten Generation</w:t>
      </w:r>
      <w:r w:rsidRPr="003C243E">
        <w:rPr>
          <w:szCs w:val="20"/>
          <w:lang w:val="de-DE"/>
        </w:rPr>
        <w:t>. Tübingen: Stauffenberg 2012.</w:t>
      </w:r>
    </w:p>
    <w:p w14:paraId="7832AD26" w14:textId="792F8EDA" w:rsidR="00CF6C7C" w:rsidRPr="003C243E" w:rsidRDefault="006F7294" w:rsidP="00BC79C1">
      <w:pPr>
        <w:pStyle w:val="KnigNeu"/>
        <w:ind w:left="397" w:hanging="397"/>
        <w:rPr>
          <w:szCs w:val="20"/>
          <w:lang w:val="de-DE"/>
        </w:rPr>
      </w:pPr>
      <w:r w:rsidRPr="003C243E">
        <w:rPr>
          <w:szCs w:val="20"/>
          <w:lang w:val="de-DE"/>
        </w:rPr>
        <w:t>Yeşilada, Karin E</w:t>
      </w:r>
      <w:r w:rsidR="009D07D9" w:rsidRPr="003C243E">
        <w:rPr>
          <w:szCs w:val="20"/>
          <w:lang w:val="de-DE"/>
        </w:rPr>
        <w:t>mine</w:t>
      </w:r>
      <w:r w:rsidR="00CF6C7C" w:rsidRPr="003C243E">
        <w:rPr>
          <w:szCs w:val="20"/>
          <w:lang w:val="de-DE"/>
        </w:rPr>
        <w:t>: „Poetry on its Way: aktuelle Zwischenstationen im lyrischen Werk Zafer Şenocaks“</w:t>
      </w:r>
      <w:r w:rsidR="00AB0486" w:rsidRPr="003C243E">
        <w:rPr>
          <w:szCs w:val="20"/>
          <w:lang w:val="de-DE"/>
        </w:rPr>
        <w:t>.</w:t>
      </w:r>
      <w:r w:rsidR="00CF6C7C" w:rsidRPr="003C243E">
        <w:rPr>
          <w:szCs w:val="20"/>
          <w:lang w:val="de-DE"/>
        </w:rPr>
        <w:t xml:space="preserve"> </w:t>
      </w:r>
      <w:r w:rsidR="00AB0486" w:rsidRPr="003C243E">
        <w:rPr>
          <w:szCs w:val="20"/>
          <w:lang w:val="de-DE"/>
        </w:rPr>
        <w:t>I</w:t>
      </w:r>
      <w:r w:rsidR="00CF6C7C" w:rsidRPr="003C243E">
        <w:rPr>
          <w:szCs w:val="20"/>
          <w:lang w:val="de-DE"/>
        </w:rPr>
        <w:t xml:space="preserve">n: </w:t>
      </w:r>
      <w:r w:rsidR="00CF6C7C" w:rsidRPr="003C243E">
        <w:rPr>
          <w:rStyle w:val="definition"/>
          <w:rFonts w:eastAsia="Calibri"/>
          <w:bCs/>
          <w:szCs w:val="20"/>
          <w:lang w:val="de-DE"/>
        </w:rPr>
        <w:t>Tom Che</w:t>
      </w:r>
      <w:r w:rsidR="00B657B4" w:rsidRPr="003C243E">
        <w:rPr>
          <w:rStyle w:val="definition"/>
          <w:rFonts w:eastAsia="Calibri"/>
          <w:bCs/>
          <w:szCs w:val="20"/>
          <w:lang w:val="de-DE"/>
        </w:rPr>
        <w:t xml:space="preserve">esman </w:t>
      </w:r>
      <w:r w:rsidR="00AB0486" w:rsidRPr="003C243E">
        <w:rPr>
          <w:rStyle w:val="definition"/>
          <w:rFonts w:eastAsia="Calibri"/>
          <w:bCs/>
          <w:szCs w:val="20"/>
          <w:lang w:val="de-DE"/>
        </w:rPr>
        <w:t xml:space="preserve">/ </w:t>
      </w:r>
      <w:r w:rsidR="00B657B4" w:rsidRPr="003C243E">
        <w:rPr>
          <w:rStyle w:val="definition"/>
          <w:rFonts w:eastAsia="Calibri"/>
          <w:bCs/>
          <w:szCs w:val="20"/>
          <w:lang w:val="de-DE"/>
        </w:rPr>
        <w:t xml:space="preserve">Karin E. </w:t>
      </w:r>
      <w:r w:rsidR="00B657B4" w:rsidRPr="003C243E">
        <w:rPr>
          <w:rStyle w:val="definition"/>
          <w:rFonts w:eastAsia="Calibri"/>
          <w:bCs/>
          <w:szCs w:val="20"/>
          <w:lang w:val="de-DE"/>
        </w:rPr>
        <w:lastRenderedPageBreak/>
        <w:t>Yeşilada (Hg</w:t>
      </w:r>
      <w:r w:rsidR="00CF6C7C" w:rsidRPr="003C243E">
        <w:rPr>
          <w:rStyle w:val="definition"/>
          <w:rFonts w:eastAsia="Calibri"/>
          <w:bCs/>
          <w:szCs w:val="20"/>
          <w:lang w:val="de-DE"/>
        </w:rPr>
        <w:t xml:space="preserve">.): </w:t>
      </w:r>
      <w:r w:rsidR="00CF6C7C" w:rsidRPr="003C243E">
        <w:rPr>
          <w:i/>
          <w:szCs w:val="20"/>
          <w:lang w:val="de-DE"/>
        </w:rPr>
        <w:t xml:space="preserve">Zafer </w:t>
      </w:r>
      <w:r w:rsidR="00CF6C7C" w:rsidRPr="003C243E">
        <w:rPr>
          <w:rStyle w:val="definition"/>
          <w:rFonts w:eastAsia="Calibri"/>
          <w:bCs/>
          <w:i/>
          <w:szCs w:val="20"/>
          <w:lang w:val="de-DE"/>
        </w:rPr>
        <w:t>Şenocak</w:t>
      </w:r>
      <w:r w:rsidR="00CF6C7C" w:rsidRPr="003C243E">
        <w:rPr>
          <w:rStyle w:val="definition"/>
          <w:rFonts w:eastAsia="Calibri"/>
          <w:bCs/>
          <w:szCs w:val="20"/>
          <w:lang w:val="de-DE"/>
        </w:rPr>
        <w:t>. Cardiff: Univ</w:t>
      </w:r>
      <w:r w:rsidR="00651293" w:rsidRPr="003C243E">
        <w:rPr>
          <w:rStyle w:val="definition"/>
          <w:rFonts w:eastAsia="Calibri"/>
          <w:bCs/>
          <w:szCs w:val="20"/>
          <w:lang w:val="de-DE"/>
        </w:rPr>
        <w:t>ersity of Wales Press 2003, 112</w:t>
      </w:r>
      <w:r w:rsidR="00651293" w:rsidRPr="003C243E">
        <w:rPr>
          <w:szCs w:val="20"/>
          <w:lang w:val="de-DE"/>
        </w:rPr>
        <w:t>–</w:t>
      </w:r>
      <w:r w:rsidR="00B657B4" w:rsidRPr="003C243E">
        <w:rPr>
          <w:rStyle w:val="definition"/>
          <w:rFonts w:eastAsia="Calibri"/>
          <w:bCs/>
          <w:szCs w:val="20"/>
          <w:lang w:val="de-DE"/>
        </w:rPr>
        <w:t>1</w:t>
      </w:r>
      <w:r w:rsidR="00CF6C7C" w:rsidRPr="003C243E">
        <w:rPr>
          <w:rStyle w:val="definition"/>
          <w:rFonts w:eastAsia="Calibri"/>
          <w:bCs/>
          <w:szCs w:val="20"/>
          <w:lang w:val="de-DE"/>
        </w:rPr>
        <w:t>29</w:t>
      </w:r>
      <w:r w:rsidR="00651293" w:rsidRPr="003C243E">
        <w:rPr>
          <w:rStyle w:val="definition"/>
          <w:rFonts w:eastAsia="Calibri"/>
          <w:bCs/>
          <w:szCs w:val="20"/>
          <w:lang w:val="de-DE"/>
        </w:rPr>
        <w:t>.</w:t>
      </w:r>
    </w:p>
    <w:p w14:paraId="4B298E87" w14:textId="600EE9DB" w:rsidR="008F1685" w:rsidRPr="003C243E" w:rsidRDefault="00CF6C7C" w:rsidP="00BC79C1">
      <w:pPr>
        <w:pStyle w:val="KnigNeu"/>
        <w:ind w:left="397" w:hanging="397"/>
        <w:rPr>
          <w:rFonts w:cs="Times New Roman"/>
          <w:szCs w:val="20"/>
          <w:lang w:val="de-DE"/>
        </w:rPr>
      </w:pPr>
      <w:r w:rsidRPr="003C243E">
        <w:rPr>
          <w:rFonts w:cs="Times New Roman"/>
          <w:szCs w:val="20"/>
          <w:lang w:val="de-DE"/>
        </w:rPr>
        <w:t>Yildiz, Yasemin: „Turkish Girls, Allah’s Daughters, and the Contemporary German Subject: Itinerary of a Figure“. In:</w:t>
      </w:r>
      <w:r w:rsidRPr="003C243E">
        <w:rPr>
          <w:rFonts w:cs="Times New Roman"/>
          <w:i/>
          <w:szCs w:val="20"/>
          <w:lang w:val="de-DE"/>
        </w:rPr>
        <w:t xml:space="preserve"> German Life and Letters</w:t>
      </w:r>
      <w:r w:rsidR="00651293" w:rsidRPr="003C243E">
        <w:rPr>
          <w:rFonts w:cs="Times New Roman"/>
          <w:szCs w:val="20"/>
          <w:lang w:val="de-DE"/>
        </w:rPr>
        <w:t xml:space="preserve"> 62.4 (2009), 465</w:t>
      </w:r>
      <w:r w:rsidR="00651293" w:rsidRPr="003C243E">
        <w:rPr>
          <w:szCs w:val="20"/>
          <w:lang w:val="de-DE"/>
        </w:rPr>
        <w:t>–</w:t>
      </w:r>
      <w:r w:rsidR="00B657B4" w:rsidRPr="003C243E">
        <w:rPr>
          <w:rFonts w:cs="Times New Roman"/>
          <w:szCs w:val="20"/>
          <w:lang w:val="de-DE"/>
        </w:rPr>
        <w:t>4</w:t>
      </w:r>
      <w:r w:rsidRPr="003C243E">
        <w:rPr>
          <w:rFonts w:cs="Times New Roman"/>
          <w:szCs w:val="20"/>
          <w:lang w:val="de-DE"/>
        </w:rPr>
        <w:t>81.</w:t>
      </w:r>
    </w:p>
    <w:sectPr w:rsidR="008F1685" w:rsidRPr="003C243E" w:rsidSect="00CB13DD">
      <w:headerReference w:type="even" r:id="rId8"/>
      <w:headerReference w:type="default" r:id="rId9"/>
      <w:footerReference w:type="even" r:id="rId10"/>
      <w:footerReference w:type="default" r:id="rId11"/>
      <w:headerReference w:type="first" r:id="rId12"/>
      <w:footerReference w:type="first" r:id="rId13"/>
      <w:pgSz w:w="8789" w:h="13325"/>
      <w:pgMar w:top="1134" w:right="1276" w:bottom="1418" w:left="1276" w:header="567"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130809" w14:textId="77777777" w:rsidR="00FA2083" w:rsidRDefault="00FA2083" w:rsidP="005628D9">
      <w:pPr>
        <w:spacing w:after="0" w:line="240" w:lineRule="auto"/>
      </w:pPr>
      <w:r>
        <w:separator/>
      </w:r>
    </w:p>
  </w:endnote>
  <w:endnote w:type="continuationSeparator" w:id="0">
    <w:p w14:paraId="162963EB" w14:textId="77777777" w:rsidR="00FA2083" w:rsidRDefault="00FA2083" w:rsidP="00562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enQuanYi Zen Hei Sharp">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OrigGarmnd BT">
    <w:altName w:val="Constantia"/>
    <w:charset w:val="00"/>
    <w:family w:val="roman"/>
    <w:pitch w:val="variable"/>
    <w:sig w:usb0="00000001"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3B806" w14:textId="77777777" w:rsidR="007916D6" w:rsidRDefault="007916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OrigGarmnd BT" w:hAnsi="OrigGarmnd BT"/>
        <w:sz w:val="20"/>
        <w:szCs w:val="20"/>
      </w:rPr>
      <w:id w:val="-856421889"/>
      <w:docPartObj>
        <w:docPartGallery w:val="Page Numbers (Bottom of Page)"/>
        <w:docPartUnique/>
      </w:docPartObj>
    </w:sdtPr>
    <w:sdtEndPr>
      <w:rPr>
        <w:noProof/>
      </w:rPr>
    </w:sdtEndPr>
    <w:sdtContent>
      <w:p w14:paraId="2646490F" w14:textId="1F93BDF1" w:rsidR="00AE3017" w:rsidRPr="00A2083B" w:rsidRDefault="00AE3017" w:rsidP="00A2083B">
        <w:pPr>
          <w:pStyle w:val="Footer"/>
          <w:jc w:val="right"/>
          <w:rPr>
            <w:rFonts w:ascii="OrigGarmnd BT" w:hAnsi="OrigGarmnd BT"/>
            <w:sz w:val="20"/>
            <w:szCs w:val="20"/>
          </w:rPr>
        </w:pPr>
        <w:r w:rsidRPr="00A2083B">
          <w:rPr>
            <w:rFonts w:ascii="OrigGarmnd BT" w:hAnsi="OrigGarmnd BT"/>
            <w:sz w:val="20"/>
            <w:szCs w:val="20"/>
          </w:rPr>
          <w:fldChar w:fldCharType="begin"/>
        </w:r>
        <w:r w:rsidRPr="00A2083B">
          <w:rPr>
            <w:rFonts w:ascii="OrigGarmnd BT" w:hAnsi="OrigGarmnd BT"/>
            <w:sz w:val="20"/>
            <w:szCs w:val="20"/>
          </w:rPr>
          <w:instrText xml:space="preserve"> PAGE   \* MERGEFORMAT </w:instrText>
        </w:r>
        <w:r w:rsidRPr="00A2083B">
          <w:rPr>
            <w:rFonts w:ascii="OrigGarmnd BT" w:hAnsi="OrigGarmnd BT"/>
            <w:sz w:val="20"/>
            <w:szCs w:val="20"/>
          </w:rPr>
          <w:fldChar w:fldCharType="separate"/>
        </w:r>
        <w:r w:rsidR="007916D6">
          <w:rPr>
            <w:rFonts w:ascii="OrigGarmnd BT" w:hAnsi="OrigGarmnd BT"/>
            <w:noProof/>
            <w:sz w:val="20"/>
            <w:szCs w:val="20"/>
          </w:rPr>
          <w:t>20</w:t>
        </w:r>
        <w:r w:rsidRPr="00A2083B">
          <w:rPr>
            <w:rFonts w:ascii="OrigGarmnd BT" w:hAnsi="OrigGarmnd BT"/>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2256F" w14:textId="77777777" w:rsidR="007916D6" w:rsidRDefault="007916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BD300" w14:textId="77777777" w:rsidR="00FA2083" w:rsidRDefault="00FA2083" w:rsidP="005628D9">
      <w:pPr>
        <w:spacing w:after="0" w:line="240" w:lineRule="auto"/>
      </w:pPr>
      <w:r>
        <w:separator/>
      </w:r>
    </w:p>
  </w:footnote>
  <w:footnote w:type="continuationSeparator" w:id="0">
    <w:p w14:paraId="6D7648AB" w14:textId="77777777" w:rsidR="00FA2083" w:rsidRDefault="00FA2083" w:rsidP="005628D9">
      <w:pPr>
        <w:spacing w:after="0" w:line="240" w:lineRule="auto"/>
      </w:pPr>
      <w:r>
        <w:continuationSeparator/>
      </w:r>
    </w:p>
  </w:footnote>
  <w:footnote w:id="1">
    <w:p w14:paraId="3ECF8750" w14:textId="05CAC96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Zafer Şenocak, </w:t>
      </w:r>
      <w:r w:rsidRPr="003C243E">
        <w:rPr>
          <w:rFonts w:ascii="OrigGarmnd BT" w:hAnsi="OrigGarmnd BT" w:cs="Times New Roman"/>
          <w:i/>
          <w:sz w:val="17"/>
          <w:szCs w:val="17"/>
        </w:rPr>
        <w:t>Atlas des tropischen Deutschland</w:t>
      </w:r>
      <w:r w:rsidRPr="003C243E">
        <w:rPr>
          <w:rFonts w:ascii="OrigGarmnd BT" w:hAnsi="OrigGarmnd BT" w:cs="Times New Roman"/>
          <w:sz w:val="17"/>
          <w:szCs w:val="17"/>
        </w:rPr>
        <w:t>, Berlin 1993, 18</w:t>
      </w:r>
      <w:r w:rsidRPr="003C243E">
        <w:rPr>
          <w:rFonts w:ascii="OrigGarmnd BT" w:hAnsi="OrigGarmnd BT"/>
          <w:sz w:val="17"/>
          <w:szCs w:val="17"/>
        </w:rPr>
        <w:t>–19</w:t>
      </w:r>
      <w:r w:rsidRPr="003C243E">
        <w:rPr>
          <w:rFonts w:ascii="OrigGarmnd BT" w:hAnsi="OrigGarmnd BT" w:cs="Times New Roman"/>
          <w:sz w:val="17"/>
          <w:szCs w:val="17"/>
        </w:rPr>
        <w:t>.</w:t>
      </w:r>
    </w:p>
  </w:footnote>
  <w:footnote w:id="2">
    <w:p w14:paraId="3A86DD55"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Reim Spielhaus, „Religion and Identity: How Germany’s foreigners have become Muslims“, in: </w:t>
      </w:r>
      <w:r w:rsidRPr="003C243E">
        <w:rPr>
          <w:rFonts w:ascii="OrigGarmnd BT" w:hAnsi="OrigGarmnd BT" w:cs="Times New Roman"/>
          <w:i/>
          <w:sz w:val="17"/>
          <w:szCs w:val="17"/>
        </w:rPr>
        <w:t>Internationale Politik</w:t>
      </w:r>
      <w:r w:rsidRPr="003C243E">
        <w:rPr>
          <w:rFonts w:ascii="OrigGarmnd BT" w:hAnsi="OrigGarmnd BT" w:cs="Times New Roman"/>
          <w:sz w:val="17"/>
          <w:szCs w:val="17"/>
        </w:rPr>
        <w:t xml:space="preserve"> 8.2 (2006), 18.</w:t>
      </w:r>
    </w:p>
  </w:footnote>
  <w:footnote w:id="3">
    <w:p w14:paraId="62E5D47A"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Yasemin Yildiz, „Turkish Girls, Allah’s Daughters, and the Contemporary German Subject: Itinerary of a Figure“, in:</w:t>
      </w:r>
      <w:r w:rsidRPr="003C243E">
        <w:rPr>
          <w:rFonts w:ascii="OrigGarmnd BT" w:hAnsi="OrigGarmnd BT" w:cs="Times New Roman"/>
          <w:i/>
          <w:sz w:val="17"/>
          <w:szCs w:val="17"/>
        </w:rPr>
        <w:t xml:space="preserve"> German Life and Letters</w:t>
      </w:r>
      <w:r w:rsidRPr="003C243E">
        <w:rPr>
          <w:rFonts w:ascii="OrigGarmnd BT" w:hAnsi="OrigGarmnd BT" w:cs="Times New Roman"/>
          <w:sz w:val="17"/>
          <w:szCs w:val="17"/>
        </w:rPr>
        <w:t xml:space="preserve"> 62.4 (2009), 475.</w:t>
      </w:r>
    </w:p>
  </w:footnote>
  <w:footnote w:id="4">
    <w:p w14:paraId="26153AEB" w14:textId="3F2A41E8" w:rsidR="00AE3017" w:rsidRPr="003C243E" w:rsidRDefault="00AE3017" w:rsidP="00477BAE">
      <w:pPr>
        <w:pStyle w:val="Footnote"/>
        <w:spacing w:line="240" w:lineRule="auto"/>
        <w:ind w:firstLine="397"/>
        <w:contextualSpacing/>
        <w:rPr>
          <w:rFonts w:ascii="OrigGarmnd BT" w:hAnsi="OrigGarmnd BT"/>
          <w:sz w:val="17"/>
          <w:szCs w:val="17"/>
          <w:lang w:val="de-DE"/>
        </w:rPr>
      </w:pPr>
      <w:r w:rsidRPr="003C243E">
        <w:rPr>
          <w:rStyle w:val="FootnoteReference"/>
          <w:rFonts w:ascii="OrigGarmnd BT" w:hAnsi="OrigGarmnd BT"/>
          <w:sz w:val="17"/>
          <w:szCs w:val="17"/>
          <w:lang w:val="de-DE"/>
        </w:rPr>
        <w:footnoteRef/>
      </w:r>
      <w:r w:rsidRPr="003C243E">
        <w:rPr>
          <w:rFonts w:ascii="OrigGarmnd BT" w:hAnsi="OrigGarmnd BT"/>
          <w:sz w:val="17"/>
          <w:szCs w:val="17"/>
          <w:lang w:val="de-DE"/>
        </w:rPr>
        <w:t xml:space="preserve"> Zafer Şenocak, </w:t>
      </w:r>
      <w:r w:rsidRPr="003C243E">
        <w:rPr>
          <w:rFonts w:ascii="OrigGarmnd BT" w:hAnsi="OrigGarmnd BT"/>
          <w:i/>
          <w:sz w:val="17"/>
          <w:szCs w:val="17"/>
          <w:lang w:val="de-DE"/>
        </w:rPr>
        <w:t>Deutschsein: Eine Aufklärungsschrift</w:t>
      </w:r>
      <w:r w:rsidRPr="003C243E">
        <w:rPr>
          <w:rFonts w:ascii="OrigGarmnd BT" w:hAnsi="OrigGarmnd BT"/>
          <w:sz w:val="17"/>
          <w:szCs w:val="17"/>
          <w:lang w:val="de-DE"/>
        </w:rPr>
        <w:t>, Hamburg 2011, 145–146.</w:t>
      </w:r>
    </w:p>
  </w:footnote>
  <w:footnote w:id="5">
    <w:p w14:paraId="178200BF" w14:textId="4F48B79D"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Dieser Begriff geht auf den römischen Lyriker und Philosophen Lukrez zurück.</w:t>
      </w:r>
    </w:p>
  </w:footnote>
  <w:footnote w:id="6">
    <w:p w14:paraId="71635BC7" w14:textId="33B8ECA9"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Jean-Luc Nancy, </w:t>
      </w:r>
      <w:r w:rsidRPr="003C243E">
        <w:rPr>
          <w:rFonts w:ascii="OrigGarmnd BT" w:hAnsi="OrigGarmnd BT" w:cs="Times New Roman"/>
          <w:i/>
          <w:sz w:val="17"/>
          <w:szCs w:val="17"/>
        </w:rPr>
        <w:t>Die</w:t>
      </w:r>
      <w:r w:rsidRPr="003C243E">
        <w:rPr>
          <w:rFonts w:ascii="OrigGarmnd BT" w:hAnsi="OrigGarmnd BT" w:cs="Times New Roman"/>
          <w:sz w:val="17"/>
          <w:szCs w:val="17"/>
        </w:rPr>
        <w:t xml:space="preserve"> </w:t>
      </w:r>
      <w:r w:rsidRPr="003C243E">
        <w:rPr>
          <w:rFonts w:ascii="OrigGarmnd BT" w:hAnsi="OrigGarmnd BT" w:cs="Times New Roman"/>
          <w:i/>
          <w:sz w:val="17"/>
          <w:szCs w:val="17"/>
        </w:rPr>
        <w:t>undarstellbare Gemeinschaft</w:t>
      </w:r>
      <w:r w:rsidRPr="003C243E">
        <w:rPr>
          <w:rFonts w:ascii="OrigGarmnd BT" w:hAnsi="OrigGarmnd BT" w:cs="Times New Roman"/>
          <w:sz w:val="17"/>
          <w:szCs w:val="17"/>
        </w:rPr>
        <w:t>, übers. von Gisela Febel und Jutta Legueil, Stuttgart 1988, 16.</w:t>
      </w:r>
    </w:p>
  </w:footnote>
  <w:footnote w:id="7">
    <w:p w14:paraId="0BC4CA92" w14:textId="495B1FCF"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Nancy arbeitet hier</w:t>
      </w:r>
      <w:r w:rsidR="00C02849" w:rsidRPr="003C243E">
        <w:rPr>
          <w:rFonts w:ascii="OrigGarmnd BT" w:hAnsi="OrigGarmnd BT" w:cs="Times New Roman"/>
          <w:sz w:val="17"/>
          <w:szCs w:val="17"/>
        </w:rPr>
        <w:t xml:space="preserve"> </w:t>
      </w:r>
      <w:r w:rsidRPr="003C243E">
        <w:rPr>
          <w:rFonts w:ascii="OrigGarmnd BT" w:hAnsi="OrigGarmnd BT" w:cs="Times New Roman"/>
          <w:sz w:val="17"/>
          <w:szCs w:val="17"/>
        </w:rPr>
        <w:t>mit der philosophischen Terminologie Martin Heideggers</w:t>
      </w:r>
      <w:r w:rsidR="00C02849" w:rsidRPr="003C243E">
        <w:rPr>
          <w:rFonts w:ascii="OrigGarmnd BT" w:hAnsi="OrigGarmnd BT" w:cs="Times New Roman"/>
          <w:sz w:val="17"/>
          <w:szCs w:val="17"/>
        </w:rPr>
        <w:t xml:space="preserve"> </w:t>
      </w:r>
      <w:r w:rsidRPr="003C243E">
        <w:rPr>
          <w:rFonts w:ascii="OrigGarmnd BT" w:hAnsi="OrigGarmnd BT" w:cs="Times New Roman"/>
          <w:sz w:val="17"/>
          <w:szCs w:val="17"/>
        </w:rPr>
        <w:t>und erweitert sie.</w:t>
      </w:r>
    </w:p>
  </w:footnote>
  <w:footnote w:id="8">
    <w:p w14:paraId="179BFE76"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Nancy 1988, 45.</w:t>
      </w:r>
    </w:p>
  </w:footnote>
  <w:footnote w:id="9">
    <w:p w14:paraId="567DA9EA"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Berthold Schoene, </w:t>
      </w:r>
      <w:r w:rsidRPr="003C243E">
        <w:rPr>
          <w:rFonts w:ascii="OrigGarmnd BT" w:eastAsia="Calibri" w:hAnsi="OrigGarmnd BT" w:cs="Times New Roman"/>
          <w:i/>
          <w:sz w:val="17"/>
          <w:szCs w:val="17"/>
        </w:rPr>
        <w:t>The Cosmopolitan Novel</w:t>
      </w:r>
      <w:r w:rsidRPr="003C243E">
        <w:rPr>
          <w:rFonts w:ascii="OrigGarmnd BT" w:eastAsia="Calibri" w:hAnsi="OrigGarmnd BT" w:cs="Times New Roman"/>
          <w:sz w:val="17"/>
          <w:szCs w:val="17"/>
        </w:rPr>
        <w:t xml:space="preserve">, Edinburgh 2010, </w:t>
      </w:r>
      <w:r w:rsidRPr="003C243E">
        <w:rPr>
          <w:rFonts w:ascii="OrigGarmnd BT" w:hAnsi="OrigGarmnd BT" w:cs="Times New Roman"/>
          <w:sz w:val="17"/>
          <w:szCs w:val="17"/>
        </w:rPr>
        <w:t>17.</w:t>
      </w:r>
    </w:p>
  </w:footnote>
  <w:footnote w:id="10">
    <w:p w14:paraId="6D3E6BFC" w14:textId="77777777" w:rsidR="00B55B62" w:rsidRDefault="00B55B62" w:rsidP="00477BAE">
      <w:pPr>
        <w:spacing w:line="240" w:lineRule="auto"/>
        <w:contextualSpacing/>
      </w:pPr>
    </w:p>
  </w:footnote>
  <w:footnote w:id="11">
    <w:p w14:paraId="613561AB" w14:textId="21B1654D" w:rsidR="00AE3017" w:rsidRPr="003C243E" w:rsidRDefault="00AE3017" w:rsidP="00477BAE">
      <w:pPr>
        <w:pStyle w:val="Footnote"/>
        <w:spacing w:line="240" w:lineRule="auto"/>
        <w:ind w:firstLine="397"/>
        <w:contextualSpacing/>
        <w:rPr>
          <w:rFonts w:ascii="OrigGarmnd BT" w:hAnsi="OrigGarmnd BT"/>
          <w:sz w:val="17"/>
          <w:szCs w:val="17"/>
          <w:lang w:val="de-DE"/>
        </w:rPr>
      </w:pPr>
      <w:r w:rsidRPr="003C243E">
        <w:rPr>
          <w:rStyle w:val="FootnoteReference"/>
          <w:rFonts w:ascii="OrigGarmnd BT" w:hAnsi="OrigGarmnd BT"/>
          <w:sz w:val="17"/>
          <w:szCs w:val="17"/>
          <w:lang w:val="de-DE"/>
        </w:rPr>
        <w:footnoteRef/>
      </w:r>
      <w:r w:rsidRPr="003C243E">
        <w:rPr>
          <w:rFonts w:ascii="OrigGarmnd BT" w:hAnsi="OrigGarmnd BT"/>
          <w:sz w:val="17"/>
          <w:szCs w:val="17"/>
          <w:lang w:val="de-DE"/>
        </w:rPr>
        <w:t xml:space="preserve"> Erika M. Nelson, „A Path of Poetic Potentials: Coordinates of German Lyric Identity in the Poetry of Zafer Şenocak“, in: </w:t>
      </w:r>
      <w:r w:rsidRPr="003C243E">
        <w:rPr>
          <w:rFonts w:ascii="OrigGarmnd BT" w:hAnsi="OrigGarmnd BT"/>
          <w:sz w:val="17"/>
          <w:szCs w:val="17"/>
          <w:shd w:val="clear" w:color="auto" w:fill="FFFFFF"/>
          <w:lang w:val="de-DE"/>
        </w:rPr>
        <w:t>Katharina Gerstenberger/ Patricia Herminghouse</w:t>
      </w:r>
      <w:r w:rsidRPr="003C243E">
        <w:rPr>
          <w:rFonts w:ascii="OrigGarmnd BT" w:hAnsi="OrigGarmnd BT"/>
          <w:sz w:val="17"/>
          <w:szCs w:val="17"/>
          <w:lang w:val="de-DE"/>
        </w:rPr>
        <w:t xml:space="preserve"> (Hg.), </w:t>
      </w:r>
      <w:r w:rsidRPr="003C243E">
        <w:rPr>
          <w:rFonts w:ascii="OrigGarmnd BT" w:hAnsi="OrigGarmnd BT"/>
          <w:i/>
          <w:sz w:val="17"/>
          <w:szCs w:val="17"/>
          <w:lang w:val="de-DE"/>
        </w:rPr>
        <w:t>German Literature in a New Century:</w:t>
      </w:r>
      <w:r w:rsidRPr="003C243E">
        <w:rPr>
          <w:rFonts w:ascii="OrigGarmnd BT" w:hAnsi="OrigGarmnd BT"/>
          <w:sz w:val="17"/>
          <w:szCs w:val="17"/>
          <w:shd w:val="clear" w:color="auto" w:fill="FFFFFF"/>
          <w:lang w:val="de-DE"/>
        </w:rPr>
        <w:t xml:space="preserve"> </w:t>
      </w:r>
      <w:r w:rsidRPr="003C243E">
        <w:rPr>
          <w:rFonts w:ascii="OrigGarmnd BT" w:hAnsi="OrigGarmnd BT"/>
          <w:i/>
          <w:sz w:val="17"/>
          <w:szCs w:val="17"/>
          <w:shd w:val="clear" w:color="auto" w:fill="FFFFFF"/>
          <w:lang w:val="de-DE"/>
        </w:rPr>
        <w:t>Trends, Traditions, Transitions, Transformations</w:t>
      </w:r>
      <w:r w:rsidRPr="003C243E">
        <w:rPr>
          <w:rFonts w:ascii="OrigGarmnd BT" w:hAnsi="OrigGarmnd BT"/>
          <w:sz w:val="17"/>
          <w:szCs w:val="17"/>
          <w:shd w:val="clear" w:color="auto" w:fill="FFFFFF"/>
          <w:lang w:val="de-DE"/>
        </w:rPr>
        <w:t xml:space="preserve">, </w:t>
      </w:r>
      <w:r w:rsidRPr="003C243E">
        <w:rPr>
          <w:rFonts w:ascii="OrigGarmnd BT" w:hAnsi="OrigGarmnd BT"/>
          <w:sz w:val="17"/>
          <w:szCs w:val="17"/>
          <w:lang w:val="de-DE"/>
        </w:rPr>
        <w:t>New York 2008, 172–173.</w:t>
      </w:r>
    </w:p>
  </w:footnote>
  <w:footnote w:id="12">
    <w:p w14:paraId="57F0D993" w14:textId="5261B249"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Leslie A. Adelson, „Against Between – Ein Manifest gegen das Dazwischen“, in: Heinz Ludwig Arnold (Hg.), </w:t>
      </w:r>
      <w:r w:rsidRPr="003C243E">
        <w:rPr>
          <w:rFonts w:ascii="OrigGarmnd BT" w:hAnsi="OrigGarmnd BT" w:cs="Times New Roman"/>
          <w:i/>
          <w:sz w:val="17"/>
          <w:szCs w:val="17"/>
        </w:rPr>
        <w:t>Literatur und Migration</w:t>
      </w:r>
      <w:r w:rsidRPr="003C243E">
        <w:rPr>
          <w:rFonts w:ascii="OrigGarmnd BT" w:hAnsi="OrigGarmnd BT" w:cs="Times New Roman"/>
          <w:sz w:val="17"/>
          <w:szCs w:val="17"/>
        </w:rPr>
        <w:t xml:space="preserve">, </w:t>
      </w:r>
      <w:r w:rsidRPr="003C243E">
        <w:rPr>
          <w:rFonts w:ascii="OrigGarmnd BT" w:hAnsi="OrigGarmnd BT" w:cs="Times New Roman"/>
          <w:color w:val="000000"/>
          <w:sz w:val="17"/>
          <w:szCs w:val="17"/>
        </w:rPr>
        <w:t>München</w:t>
      </w:r>
      <w:r w:rsidRPr="003C243E">
        <w:rPr>
          <w:rFonts w:ascii="OrigGarmnd BT" w:hAnsi="OrigGarmnd BT" w:cs="Times New Roman"/>
          <w:sz w:val="17"/>
          <w:szCs w:val="17"/>
        </w:rPr>
        <w:t>, 2006, 45.</w:t>
      </w:r>
    </w:p>
  </w:footnote>
  <w:footnote w:id="13">
    <w:p w14:paraId="4DD7D14A" w14:textId="77777777" w:rsidR="00AE3017" w:rsidRPr="003C243E" w:rsidRDefault="00AE3017" w:rsidP="00477BAE">
      <w:pPr>
        <w:pStyle w:val="Footnote"/>
        <w:spacing w:line="240" w:lineRule="auto"/>
        <w:ind w:firstLine="397"/>
        <w:contextualSpacing/>
        <w:rPr>
          <w:rFonts w:ascii="OrigGarmnd BT" w:hAnsi="OrigGarmnd BT"/>
          <w:sz w:val="17"/>
          <w:szCs w:val="17"/>
          <w:lang w:val="de-DE"/>
        </w:rPr>
      </w:pPr>
      <w:r w:rsidRPr="003C243E">
        <w:rPr>
          <w:rStyle w:val="FootnoteReference"/>
          <w:rFonts w:ascii="OrigGarmnd BT" w:hAnsi="OrigGarmnd BT"/>
          <w:sz w:val="17"/>
          <w:szCs w:val="17"/>
          <w:lang w:val="de-DE"/>
        </w:rPr>
        <w:footnoteRef/>
      </w:r>
      <w:r w:rsidRPr="003C243E">
        <w:rPr>
          <w:rFonts w:ascii="OrigGarmnd BT" w:hAnsi="OrigGarmnd BT"/>
          <w:sz w:val="17"/>
          <w:szCs w:val="17"/>
          <w:lang w:val="de-DE"/>
        </w:rPr>
        <w:t xml:space="preserve"> Zafer </w:t>
      </w:r>
      <w:r w:rsidRPr="003C243E">
        <w:rPr>
          <w:rFonts w:ascii="OrigGarmnd BT" w:hAnsi="OrigGarmnd BT"/>
          <w:color w:val="000000"/>
          <w:sz w:val="17"/>
          <w:szCs w:val="17"/>
          <w:lang w:val="de-DE"/>
        </w:rPr>
        <w:t xml:space="preserve">Şenocak, </w:t>
      </w:r>
      <w:r w:rsidRPr="003C243E">
        <w:rPr>
          <w:rFonts w:ascii="OrigGarmnd BT" w:hAnsi="OrigGarmnd BT"/>
          <w:i/>
          <w:color w:val="000000"/>
          <w:sz w:val="17"/>
          <w:szCs w:val="17"/>
          <w:lang w:val="de-DE"/>
        </w:rPr>
        <w:t>Übergang</w:t>
      </w:r>
      <w:r w:rsidRPr="003C243E">
        <w:rPr>
          <w:rFonts w:ascii="OrigGarmnd BT" w:hAnsi="OrigGarmnd BT"/>
          <w:color w:val="000000"/>
          <w:sz w:val="17"/>
          <w:szCs w:val="17"/>
          <w:lang w:val="de-DE"/>
        </w:rPr>
        <w:t>, München 2005, 17.</w:t>
      </w:r>
    </w:p>
  </w:footnote>
  <w:footnote w:id="14">
    <w:p w14:paraId="6B84EB82"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w:t>
      </w:r>
      <w:r w:rsidRPr="003C243E">
        <w:rPr>
          <w:rFonts w:ascii="OrigGarmnd BT" w:hAnsi="OrigGarmnd BT" w:cs="Times New Roman"/>
          <w:color w:val="000000"/>
          <w:sz w:val="17"/>
          <w:szCs w:val="17"/>
        </w:rPr>
        <w:t>Şenocak 2005, 23.</w:t>
      </w:r>
    </w:p>
  </w:footnote>
  <w:footnote w:id="15">
    <w:p w14:paraId="1A75E473" w14:textId="77777777" w:rsidR="00694CE1" w:rsidRPr="003C243E" w:rsidRDefault="00694CE1"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Zafer Şenocak, </w:t>
      </w:r>
      <w:r w:rsidRPr="003C243E">
        <w:rPr>
          <w:rFonts w:ascii="OrigGarmnd BT" w:hAnsi="OrigGarmnd BT" w:cs="Times New Roman"/>
          <w:i/>
          <w:sz w:val="17"/>
          <w:szCs w:val="17"/>
        </w:rPr>
        <w:t>Das Land hinter den Buchstaben: Deutschland und der Islam im Umbruch</w:t>
      </w:r>
      <w:r w:rsidRPr="003C243E">
        <w:rPr>
          <w:rFonts w:ascii="OrigGarmnd BT" w:hAnsi="OrigGarmnd BT" w:cs="Times New Roman"/>
          <w:sz w:val="17"/>
          <w:szCs w:val="17"/>
        </w:rPr>
        <w:t>, München 2006, 30</w:t>
      </w:r>
      <w:r w:rsidRPr="003C243E">
        <w:rPr>
          <w:rFonts w:ascii="OrigGarmnd BT" w:hAnsi="OrigGarmnd BT"/>
          <w:sz w:val="17"/>
          <w:szCs w:val="17"/>
        </w:rPr>
        <w:t>–31</w:t>
      </w:r>
      <w:r w:rsidRPr="003C243E">
        <w:rPr>
          <w:rFonts w:ascii="OrigGarmnd BT" w:hAnsi="OrigGarmnd BT" w:cs="Times New Roman"/>
          <w:sz w:val="17"/>
          <w:szCs w:val="17"/>
        </w:rPr>
        <w:t>.</w:t>
      </w:r>
    </w:p>
  </w:footnote>
  <w:footnote w:id="16">
    <w:p w14:paraId="1F538F49" w14:textId="0D80A6A8" w:rsidR="009155EF" w:rsidRPr="007916D6" w:rsidRDefault="009155EF" w:rsidP="00477BAE">
      <w:pPr>
        <w:pStyle w:val="FootnoteText"/>
        <w:ind w:firstLine="397"/>
        <w:contextualSpacing/>
        <w:jc w:val="left"/>
        <w:rPr>
          <w:rFonts w:ascii="OrigGarmnd BT" w:hAnsi="OrigGarmnd BT"/>
          <w:sz w:val="17"/>
          <w:szCs w:val="17"/>
          <w:lang w:val="en-GB"/>
        </w:rPr>
      </w:pPr>
      <w:r w:rsidRPr="003C243E">
        <w:rPr>
          <w:rStyle w:val="FootnoteReference"/>
          <w:rFonts w:ascii="OrigGarmnd BT" w:hAnsi="OrigGarmnd BT"/>
          <w:sz w:val="17"/>
          <w:szCs w:val="17"/>
        </w:rPr>
        <w:footnoteRef/>
      </w:r>
      <w:r w:rsidRPr="003C243E">
        <w:rPr>
          <w:rFonts w:ascii="OrigGarmnd BT" w:hAnsi="OrigGarmnd BT"/>
          <w:sz w:val="17"/>
          <w:szCs w:val="17"/>
        </w:rPr>
        <w:t xml:space="preserve"> </w:t>
      </w:r>
      <w:r w:rsidRPr="003C243E">
        <w:rPr>
          <w:rFonts w:ascii="OrigGarmnd BT" w:hAnsi="OrigGarmnd BT"/>
          <w:sz w:val="17"/>
          <w:szCs w:val="17"/>
          <w:lang w:val="en-GB"/>
        </w:rPr>
        <w:t xml:space="preserve">Yunus Emre, </w:t>
      </w:r>
      <w:r w:rsidRPr="003C243E">
        <w:rPr>
          <w:rFonts w:ascii="OrigGarmnd BT" w:hAnsi="OrigGarmnd BT"/>
          <w:i/>
          <w:sz w:val="17"/>
          <w:szCs w:val="17"/>
          <w:lang w:val="en-GB"/>
        </w:rPr>
        <w:t>Das Kummerrad / Dertli Dolap</w:t>
      </w:r>
      <w:r w:rsidRPr="003C243E">
        <w:rPr>
          <w:rFonts w:ascii="OrigGarmnd BT" w:hAnsi="OrigGarmnd BT"/>
          <w:sz w:val="17"/>
          <w:szCs w:val="17"/>
          <w:lang w:val="en-GB"/>
        </w:rPr>
        <w:t xml:space="preserve">, </w:t>
      </w:r>
      <w:r w:rsidR="00947F76" w:rsidRPr="003C243E">
        <w:rPr>
          <w:rFonts w:ascii="OrigGarmnd BT" w:hAnsi="OrigGarmnd BT"/>
          <w:sz w:val="17"/>
          <w:szCs w:val="17"/>
          <w:lang w:val="en-GB"/>
        </w:rPr>
        <w:t>Frankfurt a.M. 1986, 9.</w:t>
      </w:r>
    </w:p>
  </w:footnote>
  <w:footnote w:id="17">
    <w:p w14:paraId="654BBC15" w14:textId="77777777" w:rsidR="00AE3017" w:rsidRPr="003C243E" w:rsidRDefault="00AE3017" w:rsidP="00477BAE">
      <w:pPr>
        <w:pStyle w:val="Footnote"/>
        <w:spacing w:line="240" w:lineRule="auto"/>
        <w:ind w:firstLine="397"/>
        <w:contextualSpacing/>
        <w:rPr>
          <w:rFonts w:ascii="OrigGarmnd BT" w:hAnsi="OrigGarmnd BT"/>
          <w:sz w:val="17"/>
          <w:szCs w:val="17"/>
          <w:lang w:val="de-DE"/>
        </w:rPr>
      </w:pPr>
      <w:r w:rsidRPr="003C243E">
        <w:rPr>
          <w:rStyle w:val="FootnoteReference"/>
          <w:rFonts w:ascii="OrigGarmnd BT" w:hAnsi="OrigGarmnd BT"/>
          <w:sz w:val="17"/>
          <w:szCs w:val="17"/>
          <w:lang w:val="de-DE"/>
        </w:rPr>
        <w:footnoteRef/>
      </w:r>
      <w:r w:rsidRPr="003C243E">
        <w:rPr>
          <w:rStyle w:val="FootnoteReference"/>
          <w:rFonts w:ascii="OrigGarmnd BT" w:hAnsi="OrigGarmnd BT"/>
          <w:sz w:val="17"/>
          <w:szCs w:val="17"/>
          <w:lang w:val="de-DE"/>
        </w:rPr>
        <w:t xml:space="preserve"> </w:t>
      </w:r>
      <w:r w:rsidRPr="003C243E">
        <w:rPr>
          <w:rFonts w:ascii="OrigGarmnd BT" w:hAnsi="OrigGarmnd BT"/>
          <w:sz w:val="17"/>
          <w:szCs w:val="17"/>
          <w:lang w:val="de-DE"/>
        </w:rPr>
        <w:t>Zafer Şenocak,</w:t>
      </w:r>
      <w:r w:rsidRPr="003C243E">
        <w:rPr>
          <w:rFonts w:ascii="OrigGarmnd BT" w:hAnsi="OrigGarmnd BT"/>
          <w:i/>
          <w:sz w:val="17"/>
          <w:szCs w:val="17"/>
          <w:lang w:val="de-DE"/>
        </w:rPr>
        <w:t xml:space="preserve"> War Hitler Araber? IrreFührungen an den Rand Europas</w:t>
      </w:r>
      <w:r w:rsidRPr="003C243E">
        <w:rPr>
          <w:rFonts w:ascii="OrigGarmnd BT" w:hAnsi="OrigGarmnd BT"/>
          <w:sz w:val="17"/>
          <w:szCs w:val="17"/>
          <w:lang w:val="de-DE"/>
        </w:rPr>
        <w:t>, Berlin 1994,</w:t>
      </w:r>
      <w:r w:rsidRPr="003C243E">
        <w:rPr>
          <w:rFonts w:ascii="OrigGarmnd BT" w:hAnsi="OrigGarmnd BT"/>
          <w:color w:val="000000"/>
          <w:sz w:val="17"/>
          <w:szCs w:val="17"/>
          <w:lang w:val="de-DE"/>
        </w:rPr>
        <w:t xml:space="preserve"> </w:t>
      </w:r>
      <w:r w:rsidRPr="003C243E">
        <w:rPr>
          <w:rFonts w:ascii="OrigGarmnd BT" w:hAnsi="OrigGarmnd BT"/>
          <w:sz w:val="17"/>
          <w:szCs w:val="17"/>
          <w:lang w:val="de-DE"/>
        </w:rPr>
        <w:t>28.</w:t>
      </w:r>
    </w:p>
  </w:footnote>
  <w:footnote w:id="18">
    <w:p w14:paraId="257B5429" w14:textId="77777777" w:rsidR="00AE3017" w:rsidRPr="003C243E" w:rsidRDefault="00AE3017" w:rsidP="00477BAE">
      <w:pPr>
        <w:pStyle w:val="FootnoteText"/>
        <w:ind w:firstLine="397"/>
        <w:contextualSpacing/>
        <w:jc w:val="left"/>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Theodor W. Adorno, </w:t>
      </w:r>
      <w:r w:rsidRPr="003C243E">
        <w:rPr>
          <w:rFonts w:ascii="OrigGarmnd BT" w:hAnsi="OrigGarmnd BT" w:cs="Times New Roman"/>
          <w:i/>
          <w:sz w:val="17"/>
          <w:szCs w:val="17"/>
        </w:rPr>
        <w:t>Negative Dialektik</w:t>
      </w:r>
      <w:r w:rsidRPr="003C243E">
        <w:rPr>
          <w:rFonts w:ascii="OrigGarmnd BT" w:hAnsi="OrigGarmnd BT" w:cs="Times New Roman"/>
          <w:sz w:val="17"/>
          <w:szCs w:val="17"/>
        </w:rPr>
        <w:t>, Frankfurt a. M. 1966,</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15.</w:t>
      </w:r>
    </w:p>
  </w:footnote>
  <w:footnote w:id="19">
    <w:p w14:paraId="07587D44" w14:textId="77777777" w:rsidR="00AE3017" w:rsidRPr="003C243E" w:rsidRDefault="00AE3017" w:rsidP="00477BAE">
      <w:pPr>
        <w:pStyle w:val="Footnote"/>
        <w:spacing w:line="240" w:lineRule="auto"/>
        <w:ind w:firstLine="397"/>
        <w:contextualSpacing/>
        <w:rPr>
          <w:rFonts w:ascii="OrigGarmnd BT" w:hAnsi="OrigGarmnd BT"/>
          <w:sz w:val="17"/>
          <w:szCs w:val="17"/>
          <w:lang w:val="de-DE"/>
        </w:rPr>
      </w:pPr>
      <w:r w:rsidRPr="003C243E">
        <w:rPr>
          <w:rStyle w:val="FootnoteReference"/>
          <w:rFonts w:ascii="OrigGarmnd BT" w:hAnsi="OrigGarmnd BT"/>
          <w:sz w:val="17"/>
          <w:szCs w:val="17"/>
          <w:lang w:val="de-DE"/>
        </w:rPr>
        <w:footnoteRef/>
      </w:r>
      <w:r w:rsidRPr="003C243E">
        <w:rPr>
          <w:rFonts w:ascii="OrigGarmnd BT" w:hAnsi="OrigGarmnd BT"/>
          <w:sz w:val="17"/>
          <w:szCs w:val="17"/>
          <w:lang w:val="de-DE"/>
        </w:rPr>
        <w:t xml:space="preserve"> Şenocak 2011,</w:t>
      </w:r>
      <w:r w:rsidRPr="003C243E">
        <w:rPr>
          <w:rFonts w:ascii="OrigGarmnd BT" w:hAnsi="OrigGarmnd BT"/>
          <w:color w:val="000000"/>
          <w:sz w:val="17"/>
          <w:szCs w:val="17"/>
          <w:lang w:val="de-DE"/>
        </w:rPr>
        <w:t xml:space="preserve"> </w:t>
      </w:r>
      <w:r w:rsidRPr="003C243E">
        <w:rPr>
          <w:rFonts w:ascii="OrigGarmnd BT" w:hAnsi="OrigGarmnd BT"/>
          <w:sz w:val="17"/>
          <w:szCs w:val="17"/>
          <w:lang w:val="de-DE"/>
        </w:rPr>
        <w:t>57.</w:t>
      </w:r>
    </w:p>
  </w:footnote>
  <w:footnote w:id="20">
    <w:p w14:paraId="68CA6168"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Jean-Luc Nancy, „Lob der Vermischung“, in: </w:t>
      </w:r>
      <w:r w:rsidRPr="003C243E">
        <w:rPr>
          <w:rFonts w:ascii="OrigGarmnd BT" w:hAnsi="OrigGarmnd BT" w:cs="Times New Roman"/>
          <w:i/>
          <w:sz w:val="17"/>
          <w:szCs w:val="17"/>
        </w:rPr>
        <w:t>Lettre International</w:t>
      </w:r>
      <w:r w:rsidRPr="003C243E">
        <w:rPr>
          <w:rFonts w:ascii="OrigGarmnd BT" w:hAnsi="OrigGarmnd BT" w:cs="Times New Roman"/>
          <w:sz w:val="17"/>
          <w:szCs w:val="17"/>
        </w:rPr>
        <w:t xml:space="preserve"> 21 (1993),</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7.</w:t>
      </w:r>
    </w:p>
  </w:footnote>
  <w:footnote w:id="21">
    <w:p w14:paraId="1BF75373" w14:textId="61F8734F" w:rsidR="00947F76" w:rsidRPr="003C243E" w:rsidRDefault="00947F76"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Elke Segelcke sieht ein</w:t>
      </w:r>
      <w:r w:rsidRPr="003C243E">
        <w:rPr>
          <w:rFonts w:ascii="OrigGarmnd BT" w:hAnsi="OrigGarmnd BT" w:cs="Times New Roman"/>
          <w:sz w:val="17"/>
          <w:szCs w:val="17"/>
          <w:lang w:val="de-AT"/>
        </w:rPr>
        <w:t>en Bezug</w:t>
      </w:r>
      <w:r w:rsidR="00346BAA">
        <w:rPr>
          <w:rFonts w:ascii="OrigGarmnd BT" w:hAnsi="OrigGarmnd BT" w:cs="Times New Roman"/>
          <w:sz w:val="17"/>
          <w:szCs w:val="17"/>
          <w:lang w:val="de-AT"/>
        </w:rPr>
        <w:t xml:space="preserve"> </w:t>
      </w:r>
      <w:r w:rsidRPr="003C243E">
        <w:rPr>
          <w:rFonts w:ascii="OrigGarmnd BT" w:hAnsi="OrigGarmnd BT" w:cs="Times New Roman"/>
          <w:sz w:val="17"/>
          <w:szCs w:val="17"/>
        </w:rPr>
        <w:t xml:space="preserve">zum Deleuze’schen Rhizommodell: Elke Segelcke, „Jenseits von ‚Eigenem‘ und ‚Fremdem‘: Zu Europabild und nomadischer Schreibstrategie Şenocaks“, in: </w:t>
      </w:r>
      <w:r w:rsidRPr="003C243E">
        <w:rPr>
          <w:rFonts w:ascii="OrigGarmnd BT" w:hAnsi="OrigGarmnd BT" w:cs="Times New Roman"/>
          <w:i/>
          <w:sz w:val="17"/>
          <w:szCs w:val="17"/>
        </w:rPr>
        <w:t>Gegenwartsliteratur</w:t>
      </w:r>
      <w:r w:rsidRPr="003C243E">
        <w:rPr>
          <w:rFonts w:ascii="OrigGarmnd BT" w:hAnsi="OrigGarmnd BT" w:cs="Times New Roman"/>
          <w:sz w:val="17"/>
          <w:szCs w:val="17"/>
        </w:rPr>
        <w:t xml:space="preserve"> 8 (2009),</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179.</w:t>
      </w:r>
    </w:p>
  </w:footnote>
  <w:footnote w:id="22">
    <w:p w14:paraId="413BCA78" w14:textId="77777777" w:rsidR="00AE3017" w:rsidRPr="003C243E" w:rsidRDefault="00AE3017" w:rsidP="00477BAE">
      <w:pPr>
        <w:pStyle w:val="Footnote"/>
        <w:spacing w:line="240" w:lineRule="auto"/>
        <w:ind w:firstLine="397"/>
        <w:contextualSpacing/>
        <w:rPr>
          <w:rFonts w:ascii="OrigGarmnd BT" w:hAnsi="OrigGarmnd BT"/>
          <w:sz w:val="17"/>
          <w:szCs w:val="17"/>
          <w:lang w:val="de-DE"/>
        </w:rPr>
      </w:pPr>
      <w:r w:rsidRPr="003C243E">
        <w:rPr>
          <w:rStyle w:val="FootnoteReference"/>
          <w:rFonts w:ascii="OrigGarmnd BT" w:hAnsi="OrigGarmnd BT"/>
          <w:sz w:val="17"/>
          <w:szCs w:val="17"/>
          <w:lang w:val="de-DE"/>
        </w:rPr>
        <w:footnoteRef/>
      </w:r>
      <w:r w:rsidRPr="003C243E">
        <w:rPr>
          <w:rFonts w:ascii="OrigGarmnd BT" w:hAnsi="OrigGarmnd BT"/>
          <w:sz w:val="17"/>
          <w:szCs w:val="17"/>
          <w:lang w:val="de-DE"/>
        </w:rPr>
        <w:t xml:space="preserve"> Şenocak 1994,</w:t>
      </w:r>
      <w:r w:rsidRPr="003C243E">
        <w:rPr>
          <w:rFonts w:ascii="OrigGarmnd BT" w:hAnsi="OrigGarmnd BT"/>
          <w:color w:val="000000"/>
          <w:sz w:val="17"/>
          <w:szCs w:val="17"/>
          <w:lang w:val="de-DE"/>
        </w:rPr>
        <w:t xml:space="preserve"> </w:t>
      </w:r>
      <w:r w:rsidRPr="003C243E">
        <w:rPr>
          <w:rFonts w:ascii="OrigGarmnd BT" w:hAnsi="OrigGarmnd BT"/>
          <w:sz w:val="17"/>
          <w:szCs w:val="17"/>
          <w:lang w:val="de-DE"/>
        </w:rPr>
        <w:t>62.</w:t>
      </w:r>
    </w:p>
  </w:footnote>
  <w:footnote w:id="23">
    <w:p w14:paraId="2DD3443F"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Şenocak 1994,</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64.</w:t>
      </w:r>
    </w:p>
  </w:footnote>
  <w:footnote w:id="24">
    <w:p w14:paraId="1CEDF8E2" w14:textId="77777777" w:rsidR="00AE3017" w:rsidRPr="003C243E" w:rsidRDefault="00AE3017" w:rsidP="00477BAE">
      <w:pPr>
        <w:pStyle w:val="Footnote"/>
        <w:spacing w:line="240" w:lineRule="auto"/>
        <w:ind w:firstLine="397"/>
        <w:contextualSpacing/>
        <w:rPr>
          <w:rFonts w:ascii="OrigGarmnd BT" w:hAnsi="OrigGarmnd BT"/>
          <w:sz w:val="17"/>
          <w:szCs w:val="17"/>
          <w:lang w:val="de-DE"/>
        </w:rPr>
      </w:pPr>
      <w:r w:rsidRPr="003C243E">
        <w:rPr>
          <w:rStyle w:val="FootnoteReference"/>
          <w:rFonts w:ascii="OrigGarmnd BT" w:hAnsi="OrigGarmnd BT"/>
          <w:sz w:val="17"/>
          <w:szCs w:val="17"/>
          <w:lang w:val="de-DE"/>
        </w:rPr>
        <w:footnoteRef/>
      </w:r>
      <w:r w:rsidRPr="003C243E">
        <w:rPr>
          <w:rFonts w:ascii="OrigGarmnd BT" w:hAnsi="OrigGarmnd BT"/>
          <w:sz w:val="17"/>
          <w:szCs w:val="17"/>
          <w:lang w:val="de-DE"/>
        </w:rPr>
        <w:t xml:space="preserve"> Şenocak 1994,</w:t>
      </w:r>
      <w:r w:rsidRPr="003C243E">
        <w:rPr>
          <w:rFonts w:ascii="OrigGarmnd BT" w:hAnsi="OrigGarmnd BT"/>
          <w:color w:val="000000"/>
          <w:sz w:val="17"/>
          <w:szCs w:val="17"/>
          <w:lang w:val="de-DE"/>
        </w:rPr>
        <w:t xml:space="preserve"> </w:t>
      </w:r>
      <w:r w:rsidRPr="003C243E">
        <w:rPr>
          <w:rFonts w:ascii="OrigGarmnd BT" w:hAnsi="OrigGarmnd BT"/>
          <w:sz w:val="17"/>
          <w:szCs w:val="17"/>
          <w:lang w:val="de-DE"/>
        </w:rPr>
        <w:t>64.</w:t>
      </w:r>
    </w:p>
  </w:footnote>
  <w:footnote w:id="25">
    <w:p w14:paraId="6702D014" w14:textId="77777777" w:rsidR="00AE3017" w:rsidRPr="003C243E" w:rsidRDefault="00AE3017" w:rsidP="00477BAE">
      <w:pPr>
        <w:snapToGrid w:val="0"/>
        <w:spacing w:after="0" w:line="240" w:lineRule="auto"/>
        <w:ind w:firstLine="397"/>
        <w:contextualSpacing/>
        <w:rPr>
          <w:rFonts w:ascii="OrigGarmnd BT" w:hAnsi="OrigGarmnd BT"/>
          <w:sz w:val="17"/>
          <w:szCs w:val="17"/>
        </w:rPr>
      </w:pPr>
      <w:r w:rsidRPr="003C243E">
        <w:rPr>
          <w:rStyle w:val="FootnoteReference"/>
          <w:rFonts w:ascii="OrigGarmnd BT" w:hAnsi="OrigGarmnd BT"/>
          <w:sz w:val="17"/>
          <w:szCs w:val="17"/>
        </w:rPr>
        <w:footnoteRef/>
      </w:r>
      <w:r w:rsidRPr="003C243E">
        <w:rPr>
          <w:rFonts w:ascii="OrigGarmnd BT" w:hAnsi="OrigGarmnd BT"/>
          <w:sz w:val="17"/>
          <w:szCs w:val="17"/>
        </w:rPr>
        <w:t xml:space="preserve"> </w:t>
      </w:r>
      <w:r w:rsidRPr="003C243E">
        <w:rPr>
          <w:rFonts w:ascii="OrigGarmnd BT" w:hAnsi="OrigGarmnd BT"/>
          <w:color w:val="000000" w:themeColor="text1"/>
          <w:sz w:val="17"/>
          <w:szCs w:val="17"/>
        </w:rPr>
        <w:t>Şenocak</w:t>
      </w:r>
      <w:r w:rsidRPr="003C243E">
        <w:rPr>
          <w:rFonts w:ascii="OrigGarmnd BT" w:hAnsi="OrigGarmnd BT"/>
          <w:sz w:val="17"/>
          <w:szCs w:val="17"/>
        </w:rPr>
        <w:t xml:space="preserve"> 1993, 40–41</w:t>
      </w:r>
      <w:r w:rsidRPr="003C243E">
        <w:rPr>
          <w:rFonts w:ascii="OrigGarmnd BT" w:hAnsi="OrigGarmnd BT"/>
          <w:color w:val="000000" w:themeColor="text1"/>
          <w:sz w:val="17"/>
          <w:szCs w:val="17"/>
        </w:rPr>
        <w:t>.</w:t>
      </w:r>
    </w:p>
  </w:footnote>
  <w:footnote w:id="26">
    <w:p w14:paraId="57129B71" w14:textId="4D8F0AFC"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Matthias Konzett /Zafer Şenocak, „Zafer Şenocak im Gespräch“, in: </w:t>
      </w:r>
      <w:r w:rsidRPr="003C243E">
        <w:rPr>
          <w:rFonts w:ascii="OrigGarmnd BT" w:hAnsi="OrigGarmnd BT" w:cs="Times New Roman"/>
          <w:i/>
          <w:sz w:val="17"/>
          <w:szCs w:val="17"/>
        </w:rPr>
        <w:t>The German Quarterly</w:t>
      </w:r>
      <w:r w:rsidRPr="003C243E">
        <w:rPr>
          <w:rFonts w:ascii="OrigGarmnd BT" w:hAnsi="OrigGarmnd BT" w:cs="Times New Roman"/>
          <w:sz w:val="17"/>
          <w:szCs w:val="17"/>
        </w:rPr>
        <w:t xml:space="preserve"> 76.2 (2003),</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135.</w:t>
      </w:r>
    </w:p>
  </w:footnote>
  <w:footnote w:id="27">
    <w:p w14:paraId="7FE2157D"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w:t>
      </w:r>
      <w:r w:rsidRPr="003C243E">
        <w:rPr>
          <w:rFonts w:ascii="OrigGarmnd BT" w:hAnsi="OrigGarmnd BT" w:cs="Times New Roman"/>
          <w:color w:val="000000"/>
          <w:sz w:val="17"/>
          <w:szCs w:val="17"/>
        </w:rPr>
        <w:t>Şenocak 2005, 35.</w:t>
      </w:r>
    </w:p>
  </w:footnote>
  <w:footnote w:id="28">
    <w:p w14:paraId="6209955B" w14:textId="42F3C28B" w:rsidR="0037559D" w:rsidRPr="003C243E" w:rsidRDefault="0037559D" w:rsidP="00477BAE">
      <w:pPr>
        <w:pStyle w:val="Footnote"/>
        <w:spacing w:line="240" w:lineRule="auto"/>
        <w:ind w:firstLine="397"/>
        <w:contextualSpacing/>
        <w:rPr>
          <w:rFonts w:ascii="OrigGarmnd BT" w:hAnsi="OrigGarmnd BT"/>
          <w:sz w:val="17"/>
          <w:szCs w:val="17"/>
          <w:lang w:val="de-DE"/>
        </w:rPr>
      </w:pPr>
      <w:r w:rsidRPr="003C243E">
        <w:rPr>
          <w:rStyle w:val="FootnoteReference"/>
          <w:rFonts w:ascii="OrigGarmnd BT" w:hAnsi="OrigGarmnd BT"/>
          <w:sz w:val="17"/>
          <w:szCs w:val="17"/>
          <w:lang w:val="de-DE"/>
        </w:rPr>
        <w:footnoteRef/>
      </w:r>
      <w:r w:rsidRPr="003C243E">
        <w:rPr>
          <w:rFonts w:ascii="OrigGarmnd BT" w:hAnsi="OrigGarmnd BT"/>
          <w:sz w:val="17"/>
          <w:szCs w:val="17"/>
          <w:lang w:val="de-DE"/>
        </w:rPr>
        <w:t xml:space="preserve"> Şenocak 2011, 75–85; Şenocak 2011,</w:t>
      </w:r>
      <w:r w:rsidRPr="003C243E">
        <w:rPr>
          <w:rFonts w:ascii="OrigGarmnd BT" w:hAnsi="OrigGarmnd BT"/>
          <w:color w:val="000000"/>
          <w:sz w:val="17"/>
          <w:szCs w:val="17"/>
          <w:lang w:val="de-DE"/>
        </w:rPr>
        <w:t xml:space="preserve"> </w:t>
      </w:r>
      <w:r w:rsidRPr="003C243E">
        <w:rPr>
          <w:rFonts w:ascii="OrigGarmnd BT" w:hAnsi="OrigGarmnd BT"/>
          <w:sz w:val="17"/>
          <w:szCs w:val="17"/>
          <w:lang w:val="de-DE"/>
        </w:rPr>
        <w:t>28.</w:t>
      </w:r>
    </w:p>
  </w:footnote>
  <w:footnote w:id="29">
    <w:p w14:paraId="567873D0"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Şenocak, </w:t>
      </w:r>
      <w:r w:rsidRPr="003C243E">
        <w:rPr>
          <w:rFonts w:ascii="OrigGarmnd BT" w:hAnsi="OrigGarmnd BT" w:cs="Times New Roman"/>
          <w:i/>
          <w:sz w:val="17"/>
          <w:szCs w:val="17"/>
        </w:rPr>
        <w:t>Zungenentfernung: Bericht aus der Quarantänestation</w:t>
      </w:r>
      <w:r w:rsidRPr="003C243E">
        <w:rPr>
          <w:rFonts w:ascii="OrigGarmnd BT" w:hAnsi="OrigGarmnd BT" w:cs="Times New Roman"/>
          <w:sz w:val="17"/>
          <w:szCs w:val="17"/>
        </w:rPr>
        <w:t xml:space="preserve">, </w:t>
      </w:r>
      <w:r w:rsidRPr="003C243E">
        <w:rPr>
          <w:rFonts w:ascii="OrigGarmnd BT" w:hAnsi="OrigGarmnd BT" w:cs="Times New Roman"/>
          <w:color w:val="000000"/>
          <w:sz w:val="17"/>
          <w:szCs w:val="17"/>
        </w:rPr>
        <w:t>München</w:t>
      </w:r>
      <w:r w:rsidRPr="003C243E">
        <w:rPr>
          <w:rFonts w:ascii="OrigGarmnd BT" w:hAnsi="OrigGarmnd BT" w:cs="Times New Roman"/>
          <w:sz w:val="17"/>
          <w:szCs w:val="17"/>
        </w:rPr>
        <w:t xml:space="preserve"> 2001, 78.</w:t>
      </w:r>
    </w:p>
  </w:footnote>
  <w:footnote w:id="30">
    <w:p w14:paraId="353E3F66" w14:textId="77777777" w:rsidR="00346BAA" w:rsidRPr="00CD40C9" w:rsidRDefault="00346BAA" w:rsidP="00346BAA">
      <w:pPr>
        <w:pStyle w:val="FootnoteText"/>
        <w:ind w:firstLine="397"/>
        <w:contextualSpacing/>
        <w:rPr>
          <w:rFonts w:ascii="OrigGarmnd BT" w:hAnsi="OrigGarmnd BT"/>
          <w:sz w:val="17"/>
          <w:szCs w:val="17"/>
          <w:lang w:val="en-GB"/>
        </w:rPr>
      </w:pPr>
      <w:r w:rsidRPr="003C243E">
        <w:rPr>
          <w:rStyle w:val="FootnoteReference"/>
          <w:rFonts w:ascii="OrigGarmnd BT" w:hAnsi="OrigGarmnd BT"/>
          <w:sz w:val="17"/>
          <w:szCs w:val="17"/>
        </w:rPr>
        <w:footnoteRef/>
      </w:r>
      <w:r w:rsidRPr="003C243E">
        <w:rPr>
          <w:rFonts w:ascii="OrigGarmnd BT" w:hAnsi="OrigGarmnd BT"/>
          <w:sz w:val="17"/>
          <w:szCs w:val="17"/>
        </w:rPr>
        <w:t xml:space="preserve"> </w:t>
      </w:r>
      <w:r w:rsidRPr="003C243E">
        <w:rPr>
          <w:rFonts w:ascii="OrigGarmnd BT" w:hAnsi="OrigGarmnd BT" w:cs="Times New Roman"/>
          <w:sz w:val="17"/>
          <w:szCs w:val="17"/>
          <w:lang w:val="en-GB"/>
        </w:rPr>
        <w:t>Ş</w:t>
      </w:r>
      <w:r w:rsidRPr="003C243E">
        <w:rPr>
          <w:rFonts w:ascii="OrigGarmnd BT" w:hAnsi="OrigGarmnd BT"/>
          <w:sz w:val="17"/>
          <w:szCs w:val="17"/>
          <w:lang w:val="en-GB"/>
        </w:rPr>
        <w:t>enocak 2006, 77-</w:t>
      </w:r>
      <w:r>
        <w:rPr>
          <w:rFonts w:ascii="OrigGarmnd BT" w:hAnsi="OrigGarmnd BT"/>
          <w:sz w:val="17"/>
          <w:szCs w:val="17"/>
          <w:lang w:val="en-GB"/>
        </w:rPr>
        <w:t>7</w:t>
      </w:r>
      <w:r w:rsidRPr="003C243E">
        <w:rPr>
          <w:rFonts w:ascii="OrigGarmnd BT" w:hAnsi="OrigGarmnd BT"/>
          <w:sz w:val="17"/>
          <w:szCs w:val="17"/>
          <w:lang w:val="en-GB"/>
        </w:rPr>
        <w:t>8.</w:t>
      </w:r>
    </w:p>
  </w:footnote>
  <w:footnote w:id="31">
    <w:p w14:paraId="7755CF02" w14:textId="60919105" w:rsidR="00346BAA" w:rsidRPr="007916D6" w:rsidRDefault="00346BAA" w:rsidP="007916D6">
      <w:pPr>
        <w:pStyle w:val="FootnoteText"/>
        <w:ind w:firstLine="397"/>
        <w:contextualSpacing/>
        <w:rPr>
          <w:rFonts w:ascii="OrigGarmnd BT" w:hAnsi="OrigGarmnd BT"/>
          <w:sz w:val="17"/>
          <w:szCs w:val="17"/>
          <w:lang w:val="en-GB"/>
        </w:rPr>
      </w:pPr>
      <w:r w:rsidRPr="003C243E">
        <w:rPr>
          <w:rStyle w:val="FootnoteReference"/>
          <w:rFonts w:ascii="OrigGarmnd BT" w:hAnsi="OrigGarmnd BT"/>
          <w:sz w:val="17"/>
          <w:szCs w:val="17"/>
        </w:rPr>
        <w:footnoteRef/>
      </w:r>
      <w:r w:rsidRPr="003C243E">
        <w:rPr>
          <w:rFonts w:ascii="OrigGarmnd BT" w:hAnsi="OrigGarmnd BT"/>
          <w:sz w:val="17"/>
          <w:szCs w:val="17"/>
        </w:rPr>
        <w:t xml:space="preserve"> Bertolt Brecht, in Reinhold Grimm / Coroline Molina y Vedia (Hg.), </w:t>
      </w:r>
      <w:r w:rsidRPr="003C243E">
        <w:rPr>
          <w:rFonts w:ascii="OrigGarmnd BT" w:hAnsi="OrigGarmnd BT"/>
          <w:i/>
          <w:sz w:val="17"/>
          <w:szCs w:val="17"/>
        </w:rPr>
        <w:t>Bertolt</w:t>
      </w:r>
      <w:r w:rsidR="007916D6">
        <w:rPr>
          <w:rFonts w:ascii="OrigGarmnd BT" w:hAnsi="OrigGarmnd BT"/>
          <w:i/>
          <w:sz w:val="17"/>
          <w:szCs w:val="17"/>
        </w:rPr>
        <w:t xml:space="preserve"> </w:t>
      </w:r>
      <w:r w:rsidRPr="003C243E">
        <w:rPr>
          <w:rFonts w:ascii="OrigGarmnd BT" w:hAnsi="OrigGarmnd BT"/>
          <w:i/>
          <w:sz w:val="17"/>
          <w:szCs w:val="17"/>
        </w:rPr>
        <w:t>Brecht: Poetry and Prose</w:t>
      </w:r>
      <w:r w:rsidRPr="003C243E">
        <w:rPr>
          <w:rFonts w:ascii="OrigGarmnd BT" w:hAnsi="OrigGarmnd BT"/>
          <w:sz w:val="17"/>
          <w:szCs w:val="17"/>
        </w:rPr>
        <w:t>, New York 2003, 70.</w:t>
      </w:r>
    </w:p>
  </w:footnote>
  <w:footnote w:id="32">
    <w:p w14:paraId="3CFCEA47" w14:textId="30883735" w:rsidR="00B55C9F" w:rsidRPr="003C243E" w:rsidRDefault="00B55C9F" w:rsidP="00477BAE">
      <w:pPr>
        <w:pStyle w:val="Footnote"/>
        <w:spacing w:line="240" w:lineRule="auto"/>
        <w:ind w:firstLine="397"/>
        <w:contextualSpacing/>
        <w:rPr>
          <w:rFonts w:ascii="OrigGarmnd BT" w:hAnsi="OrigGarmnd BT"/>
          <w:sz w:val="17"/>
          <w:szCs w:val="17"/>
          <w:lang w:val="de-DE"/>
        </w:rPr>
      </w:pPr>
      <w:bookmarkStart w:id="0" w:name="_GoBack"/>
      <w:bookmarkEnd w:id="0"/>
    </w:p>
  </w:footnote>
  <w:footnote w:id="33">
    <w:p w14:paraId="16DADE99" w14:textId="77777777" w:rsidR="00B55B62" w:rsidRDefault="00B55B62" w:rsidP="00477BAE">
      <w:pPr>
        <w:spacing w:line="240" w:lineRule="auto"/>
        <w:contextualSpacing/>
      </w:pPr>
    </w:p>
  </w:footnote>
  <w:footnote w:id="34">
    <w:p w14:paraId="65FFC68E" w14:textId="2DC07E7C" w:rsidR="00AE3017" w:rsidRPr="003C243E" w:rsidRDefault="00AE3017" w:rsidP="00477BAE">
      <w:pPr>
        <w:pStyle w:val="Footnote"/>
        <w:spacing w:line="240" w:lineRule="auto"/>
        <w:ind w:firstLine="397"/>
        <w:contextualSpacing/>
        <w:rPr>
          <w:rFonts w:ascii="OrigGarmnd BT" w:hAnsi="OrigGarmnd BT"/>
          <w:sz w:val="17"/>
          <w:szCs w:val="17"/>
        </w:rPr>
      </w:pPr>
      <w:r w:rsidRPr="003C243E">
        <w:rPr>
          <w:rStyle w:val="FootnoteReference"/>
          <w:rFonts w:ascii="OrigGarmnd BT" w:hAnsi="OrigGarmnd BT"/>
          <w:sz w:val="17"/>
          <w:szCs w:val="17"/>
          <w:lang w:val="de-DE"/>
        </w:rPr>
        <w:footnoteRef/>
      </w:r>
      <w:r w:rsidRPr="003C243E">
        <w:rPr>
          <w:rFonts w:ascii="OrigGarmnd BT" w:hAnsi="OrigGarmnd BT"/>
          <w:sz w:val="17"/>
          <w:szCs w:val="17"/>
        </w:rPr>
        <w:t xml:space="preserve"> Şenocak 2011,</w:t>
      </w:r>
      <w:r w:rsidRPr="003C243E">
        <w:rPr>
          <w:rFonts w:ascii="OrigGarmnd BT" w:hAnsi="OrigGarmnd BT"/>
          <w:color w:val="000000"/>
          <w:sz w:val="17"/>
          <w:szCs w:val="17"/>
          <w:lang w:val="de-DE"/>
        </w:rPr>
        <w:t xml:space="preserve"> </w:t>
      </w:r>
      <w:r w:rsidRPr="003C243E">
        <w:rPr>
          <w:rFonts w:ascii="OrigGarmnd BT" w:hAnsi="OrigGarmnd BT"/>
          <w:sz w:val="17"/>
          <w:szCs w:val="17"/>
        </w:rPr>
        <w:t>36</w:t>
      </w:r>
      <w:r w:rsidRPr="003C243E">
        <w:rPr>
          <w:rFonts w:ascii="OrigGarmnd BT" w:hAnsi="OrigGarmnd BT"/>
          <w:sz w:val="17"/>
          <w:szCs w:val="17"/>
          <w:lang w:val="de-DE"/>
        </w:rPr>
        <w:t>–37</w:t>
      </w:r>
      <w:r w:rsidRPr="003C243E">
        <w:rPr>
          <w:rFonts w:ascii="OrigGarmnd BT" w:hAnsi="OrigGarmnd BT"/>
          <w:sz w:val="17"/>
          <w:szCs w:val="17"/>
        </w:rPr>
        <w:t>.</w:t>
      </w:r>
    </w:p>
  </w:footnote>
  <w:footnote w:id="35">
    <w:p w14:paraId="2071272E" w14:textId="77777777" w:rsidR="00AE3017" w:rsidRPr="003C243E" w:rsidRDefault="00AE3017" w:rsidP="00477BAE">
      <w:pPr>
        <w:pStyle w:val="Footnote"/>
        <w:spacing w:line="240" w:lineRule="auto"/>
        <w:ind w:firstLine="397"/>
        <w:contextualSpacing/>
        <w:rPr>
          <w:rFonts w:ascii="OrigGarmnd BT" w:hAnsi="OrigGarmnd BT"/>
          <w:sz w:val="17"/>
          <w:szCs w:val="17"/>
        </w:rPr>
      </w:pPr>
      <w:r w:rsidRPr="003C243E">
        <w:rPr>
          <w:rStyle w:val="FootnoteReference"/>
          <w:rFonts w:ascii="OrigGarmnd BT" w:hAnsi="OrigGarmnd BT"/>
          <w:sz w:val="17"/>
          <w:szCs w:val="17"/>
          <w:lang w:val="de-DE"/>
        </w:rPr>
        <w:footnoteRef/>
      </w:r>
      <w:r w:rsidRPr="003C243E">
        <w:rPr>
          <w:rFonts w:ascii="OrigGarmnd BT" w:hAnsi="OrigGarmnd BT"/>
          <w:sz w:val="17"/>
          <w:szCs w:val="17"/>
        </w:rPr>
        <w:t xml:space="preserve"> Nelson 2008,</w:t>
      </w:r>
      <w:r w:rsidRPr="003C243E">
        <w:rPr>
          <w:rFonts w:ascii="OrigGarmnd BT" w:hAnsi="OrigGarmnd BT"/>
          <w:color w:val="000000"/>
          <w:sz w:val="17"/>
          <w:szCs w:val="17"/>
          <w:lang w:val="de-DE"/>
        </w:rPr>
        <w:t xml:space="preserve"> </w:t>
      </w:r>
      <w:r w:rsidRPr="003C243E">
        <w:rPr>
          <w:rFonts w:ascii="OrigGarmnd BT" w:hAnsi="OrigGarmnd BT"/>
          <w:sz w:val="17"/>
          <w:szCs w:val="17"/>
        </w:rPr>
        <w:t>160.</w:t>
      </w:r>
    </w:p>
  </w:footnote>
  <w:footnote w:id="36">
    <w:p w14:paraId="2FF8D146"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Adelson 2006, 45.</w:t>
      </w:r>
    </w:p>
  </w:footnote>
  <w:footnote w:id="37">
    <w:p w14:paraId="778141CB"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Leslie A. Adelson, </w:t>
      </w:r>
      <w:r w:rsidRPr="003C243E">
        <w:rPr>
          <w:rStyle w:val="definition"/>
          <w:rFonts w:ascii="OrigGarmnd BT" w:eastAsia="Calibri" w:hAnsi="OrigGarmnd BT" w:cs="Times New Roman"/>
          <w:bCs/>
          <w:i/>
          <w:sz w:val="17"/>
          <w:szCs w:val="17"/>
        </w:rPr>
        <w:t>The Turkish Turn in Contemporary German Literature: Toward a New Critical Grammar of Migration</w:t>
      </w:r>
      <w:r w:rsidRPr="003C243E">
        <w:rPr>
          <w:rFonts w:ascii="OrigGarmnd BT" w:hAnsi="OrigGarmnd BT" w:cs="Times New Roman"/>
          <w:sz w:val="17"/>
          <w:szCs w:val="17"/>
        </w:rPr>
        <w:t>, New York 2005,</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20.</w:t>
      </w:r>
    </w:p>
  </w:footnote>
  <w:footnote w:id="38">
    <w:p w14:paraId="34C60102"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Yeşilada 2003</w:t>
      </w:r>
      <w:r w:rsidRPr="003C243E">
        <w:rPr>
          <w:rStyle w:val="definition"/>
          <w:rFonts w:ascii="OrigGarmnd BT" w:eastAsia="Calibri" w:hAnsi="OrigGarmnd BT" w:cs="Times New Roman"/>
          <w:bCs/>
          <w:sz w:val="17"/>
          <w:szCs w:val="17"/>
        </w:rPr>
        <w:t>,</w:t>
      </w:r>
      <w:r w:rsidRPr="003C243E">
        <w:rPr>
          <w:rFonts w:ascii="OrigGarmnd BT" w:hAnsi="OrigGarmnd BT" w:cs="Times New Roman"/>
          <w:color w:val="000000"/>
          <w:sz w:val="17"/>
          <w:szCs w:val="17"/>
        </w:rPr>
        <w:t xml:space="preserve"> </w:t>
      </w:r>
      <w:r w:rsidRPr="003C243E">
        <w:rPr>
          <w:rStyle w:val="definition"/>
          <w:rFonts w:ascii="OrigGarmnd BT" w:eastAsia="Calibri" w:hAnsi="OrigGarmnd BT" w:cs="Times New Roman"/>
          <w:bCs/>
          <w:sz w:val="17"/>
          <w:szCs w:val="17"/>
        </w:rPr>
        <w:t>125.</w:t>
      </w:r>
    </w:p>
  </w:footnote>
  <w:footnote w:id="39">
    <w:p w14:paraId="2B2171BC"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Yeşilada, </w:t>
      </w:r>
      <w:r w:rsidRPr="003C243E">
        <w:rPr>
          <w:rFonts w:ascii="OrigGarmnd BT" w:hAnsi="OrigGarmnd BT" w:cs="Times New Roman"/>
          <w:i/>
          <w:sz w:val="17"/>
          <w:szCs w:val="17"/>
        </w:rPr>
        <w:t>Poesie der Dritten Sprache: Türkisch-deutsche Lyrik der zweiten Generation</w:t>
      </w:r>
      <w:r w:rsidRPr="003C243E">
        <w:rPr>
          <w:rFonts w:ascii="OrigGarmnd BT" w:hAnsi="OrigGarmnd BT" w:cs="Times New Roman"/>
          <w:sz w:val="17"/>
          <w:szCs w:val="17"/>
        </w:rPr>
        <w:t>, Tübingen 2012,</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202.</w:t>
      </w:r>
    </w:p>
  </w:footnote>
  <w:footnote w:id="40">
    <w:p w14:paraId="40BB33A8" w14:textId="08409080" w:rsidR="00EB7EDC" w:rsidRPr="007916D6" w:rsidRDefault="00EB7EDC" w:rsidP="007916D6">
      <w:pPr>
        <w:pStyle w:val="FootnoteText"/>
        <w:ind w:firstLine="397"/>
        <w:contextualSpacing/>
        <w:rPr>
          <w:rFonts w:ascii="OrigGarmnd BT" w:hAnsi="OrigGarmnd BT"/>
          <w:sz w:val="17"/>
          <w:szCs w:val="17"/>
          <w:lang w:val="en-GB"/>
        </w:rPr>
      </w:pPr>
      <w:r w:rsidRPr="003C243E">
        <w:rPr>
          <w:rStyle w:val="FootnoteReference"/>
          <w:rFonts w:ascii="OrigGarmnd BT" w:hAnsi="OrigGarmnd BT"/>
          <w:sz w:val="17"/>
          <w:szCs w:val="17"/>
        </w:rPr>
        <w:footnoteRef/>
      </w:r>
      <w:r w:rsidRPr="003C243E">
        <w:rPr>
          <w:rFonts w:ascii="OrigGarmnd BT" w:hAnsi="OrigGarmnd BT"/>
          <w:sz w:val="17"/>
          <w:szCs w:val="17"/>
        </w:rPr>
        <w:t xml:space="preserve"> Emre 1986, 41.</w:t>
      </w:r>
    </w:p>
  </w:footnote>
  <w:footnote w:id="41">
    <w:p w14:paraId="69FF74BE"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Thomas Bauer, </w:t>
      </w:r>
      <w:r w:rsidRPr="003C243E">
        <w:rPr>
          <w:rFonts w:ascii="OrigGarmnd BT" w:hAnsi="OrigGarmnd BT" w:cs="Times New Roman"/>
          <w:i/>
          <w:sz w:val="17"/>
          <w:szCs w:val="17"/>
        </w:rPr>
        <w:t>Die Kultur der Ambiguität: Eine andere Geschichte des Islams</w:t>
      </w:r>
      <w:r w:rsidRPr="003C243E">
        <w:rPr>
          <w:rFonts w:ascii="OrigGarmnd BT" w:hAnsi="OrigGarmnd BT" w:cs="Times New Roman"/>
          <w:sz w:val="17"/>
          <w:szCs w:val="17"/>
        </w:rPr>
        <w:t>, Berlin 2011, 114.</w:t>
      </w:r>
    </w:p>
  </w:footnote>
  <w:footnote w:id="42">
    <w:p w14:paraId="082E852D" w14:textId="0456FB7C"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Şenocak 2006,</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54</w:t>
      </w:r>
      <w:r w:rsidRPr="003C243E">
        <w:rPr>
          <w:rFonts w:ascii="OrigGarmnd BT" w:hAnsi="OrigGarmnd BT"/>
          <w:sz w:val="17"/>
          <w:szCs w:val="17"/>
        </w:rPr>
        <w:t>–55</w:t>
      </w:r>
      <w:r w:rsidRPr="003C243E">
        <w:rPr>
          <w:rFonts w:ascii="OrigGarmnd BT" w:hAnsi="OrigGarmnd BT" w:cs="Times New Roman"/>
          <w:sz w:val="17"/>
          <w:szCs w:val="17"/>
        </w:rPr>
        <w:t>.</w:t>
      </w:r>
    </w:p>
  </w:footnote>
  <w:footnote w:id="43">
    <w:p w14:paraId="7BB7D541" w14:textId="2C4BCC4D"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Şenocak 2006,</w:t>
      </w:r>
      <w:r w:rsidRPr="003C243E">
        <w:rPr>
          <w:rFonts w:ascii="OrigGarmnd BT" w:hAnsi="OrigGarmnd BT" w:cs="Times New Roman"/>
          <w:color w:val="000000"/>
          <w:sz w:val="17"/>
          <w:szCs w:val="17"/>
        </w:rPr>
        <w:t xml:space="preserve"> </w:t>
      </w:r>
      <w:r w:rsidRPr="003C243E">
        <w:rPr>
          <w:rFonts w:ascii="OrigGarmnd BT" w:hAnsi="OrigGarmnd BT"/>
          <w:sz w:val="17"/>
          <w:szCs w:val="17"/>
        </w:rPr>
        <w:t>57</w:t>
      </w:r>
      <w:r w:rsidRPr="003C243E">
        <w:rPr>
          <w:rFonts w:ascii="OrigGarmnd BT" w:hAnsi="OrigGarmnd BT" w:cs="Times New Roman"/>
          <w:sz w:val="17"/>
          <w:szCs w:val="17"/>
        </w:rPr>
        <w:t>.</w:t>
      </w:r>
    </w:p>
  </w:footnote>
  <w:footnote w:id="44">
    <w:p w14:paraId="567D0A82"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Şenocak, 2005,</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66.</w:t>
      </w:r>
    </w:p>
  </w:footnote>
  <w:footnote w:id="45">
    <w:p w14:paraId="16090CA6"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Şenocak 2006,</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16.</w:t>
      </w:r>
    </w:p>
  </w:footnote>
  <w:footnote w:id="46">
    <w:p w14:paraId="7B2C36BB"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Şenocak 2005,</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32.</w:t>
      </w:r>
    </w:p>
  </w:footnote>
  <w:footnote w:id="47">
    <w:p w14:paraId="6A3C9167" w14:textId="5DB80BEB"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Şenocak 2001,</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77</w:t>
      </w:r>
      <w:r w:rsidRPr="003C243E">
        <w:rPr>
          <w:rFonts w:ascii="OrigGarmnd BT" w:hAnsi="OrigGarmnd BT"/>
          <w:sz w:val="17"/>
          <w:szCs w:val="17"/>
        </w:rPr>
        <w:t>–78</w:t>
      </w:r>
      <w:r w:rsidRPr="003C243E">
        <w:rPr>
          <w:rFonts w:ascii="OrigGarmnd BT" w:hAnsi="OrigGarmnd BT" w:cs="Times New Roman"/>
          <w:sz w:val="17"/>
          <w:szCs w:val="17"/>
        </w:rPr>
        <w:t>.</w:t>
      </w:r>
    </w:p>
  </w:footnote>
  <w:footnote w:id="48">
    <w:p w14:paraId="30A304CB" w14:textId="5AAD2FDA"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Margaret Littler, „Der Islam im Werk von Zafer Şenocak: </w:t>
      </w:r>
      <w:r w:rsidRPr="003C243E">
        <w:rPr>
          <w:rFonts w:ascii="OrigGarmnd BT" w:hAnsi="OrigGarmnd BT" w:cs="Times New Roman"/>
          <w:i/>
          <w:sz w:val="17"/>
          <w:szCs w:val="17"/>
        </w:rPr>
        <w:t>Der Pavillon</w:t>
      </w:r>
      <w:r w:rsidRPr="003C243E">
        <w:rPr>
          <w:rFonts w:ascii="OrigGarmnd BT" w:hAnsi="OrigGarmnd BT" w:cs="Times New Roman"/>
          <w:sz w:val="17"/>
          <w:szCs w:val="17"/>
        </w:rPr>
        <w:t xml:space="preserve">“, in: </w:t>
      </w:r>
      <w:bookmarkStart w:id="1" w:name="OLE_LINK1"/>
      <w:bookmarkStart w:id="2" w:name="OLE_LINK2"/>
      <w:bookmarkStart w:id="3" w:name="OLE_LINK3"/>
      <w:r w:rsidRPr="003C243E">
        <w:rPr>
          <w:rFonts w:ascii="OrigGarmnd BT" w:hAnsi="OrigGarmnd BT" w:cs="Times New Roman"/>
          <w:sz w:val="17"/>
          <w:szCs w:val="17"/>
        </w:rPr>
        <w:t xml:space="preserve">Michael Hofmann / Klaus von Stosch (Hg.) </w:t>
      </w:r>
      <w:r w:rsidRPr="003C243E">
        <w:rPr>
          <w:rFonts w:ascii="OrigGarmnd BT" w:hAnsi="OrigGarmnd BT" w:cs="Times New Roman"/>
          <w:i/>
          <w:sz w:val="17"/>
          <w:szCs w:val="17"/>
        </w:rPr>
        <w:t>Islam in der deutschen und türkischen Literatur</w:t>
      </w:r>
      <w:bookmarkEnd w:id="1"/>
      <w:bookmarkEnd w:id="2"/>
      <w:bookmarkEnd w:id="3"/>
      <w:r w:rsidRPr="003C243E">
        <w:rPr>
          <w:rFonts w:ascii="OrigGarmnd BT" w:hAnsi="OrigGarmnd BT" w:cs="Times New Roman"/>
          <w:sz w:val="17"/>
          <w:szCs w:val="17"/>
        </w:rPr>
        <w:t>, Paderborn 2012,</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151</w:t>
      </w:r>
      <w:r w:rsidRPr="003C243E">
        <w:rPr>
          <w:rFonts w:ascii="OrigGarmnd BT" w:hAnsi="OrigGarmnd BT"/>
          <w:sz w:val="17"/>
          <w:szCs w:val="17"/>
        </w:rPr>
        <w:t>–152</w:t>
      </w:r>
      <w:r w:rsidRPr="003C243E">
        <w:rPr>
          <w:rFonts w:ascii="OrigGarmnd BT" w:hAnsi="OrigGarmnd BT" w:cs="Times New Roman"/>
          <w:sz w:val="17"/>
          <w:szCs w:val="17"/>
        </w:rPr>
        <w:t>.</w:t>
      </w:r>
    </w:p>
  </w:footnote>
  <w:footnote w:id="49">
    <w:p w14:paraId="78FBBA8E"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Jean-Luc Nancy, </w:t>
      </w:r>
      <w:r w:rsidRPr="003C243E">
        <w:rPr>
          <w:rFonts w:ascii="OrigGarmnd BT" w:hAnsi="OrigGarmnd BT" w:cs="Times New Roman"/>
          <w:i/>
          <w:sz w:val="17"/>
          <w:szCs w:val="17"/>
        </w:rPr>
        <w:t>Dekonstruktion des Christentums</w:t>
      </w:r>
      <w:r w:rsidRPr="003C243E">
        <w:rPr>
          <w:rFonts w:ascii="OrigGarmnd BT" w:hAnsi="OrigGarmnd BT" w:cs="Times New Roman"/>
          <w:sz w:val="17"/>
          <w:szCs w:val="17"/>
        </w:rPr>
        <w:t>,</w:t>
      </w:r>
      <w:r w:rsidRPr="003C243E">
        <w:rPr>
          <w:rFonts w:ascii="OrigGarmnd BT" w:hAnsi="OrigGarmnd BT" w:cs="Times New Roman"/>
          <w:i/>
          <w:sz w:val="17"/>
          <w:szCs w:val="17"/>
        </w:rPr>
        <w:t xml:space="preserve"> </w:t>
      </w:r>
      <w:r w:rsidRPr="003C243E">
        <w:rPr>
          <w:rFonts w:ascii="OrigGarmnd BT" w:hAnsi="OrigGarmnd BT" w:cs="Times New Roman"/>
          <w:sz w:val="17"/>
          <w:szCs w:val="17"/>
        </w:rPr>
        <w:t>übers. von Esther von der Osten, Zürich 2008,</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58.</w:t>
      </w:r>
    </w:p>
  </w:footnote>
  <w:footnote w:id="50">
    <w:p w14:paraId="6C30DF7B"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Nancy 2008,</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20.</w:t>
      </w:r>
    </w:p>
  </w:footnote>
  <w:footnote w:id="51">
    <w:p w14:paraId="29FA624D"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Nancy 2008,</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42.</w:t>
      </w:r>
    </w:p>
  </w:footnote>
  <w:footnote w:id="52">
    <w:p w14:paraId="0599FE1E"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Şenocak 2005, 13.</w:t>
      </w:r>
    </w:p>
  </w:footnote>
  <w:footnote w:id="53">
    <w:p w14:paraId="7FB665B7"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Konzett und Şenocak 2003, 132.</w:t>
      </w:r>
    </w:p>
  </w:footnote>
  <w:footnote w:id="54">
    <w:p w14:paraId="13690CC1"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Şenocak 2005,</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91.</w:t>
      </w:r>
    </w:p>
  </w:footnote>
  <w:footnote w:id="55">
    <w:p w14:paraId="401AF18D"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Nancy 1993, 5.</w:t>
      </w:r>
    </w:p>
  </w:footnote>
  <w:footnote w:id="56">
    <w:p w14:paraId="5DC080CF" w14:textId="5DF0AD2D" w:rsidR="00E9249A" w:rsidRPr="007916D6" w:rsidRDefault="00E9249A" w:rsidP="007916D6">
      <w:pPr>
        <w:pStyle w:val="FootnoteText"/>
        <w:ind w:firstLine="397"/>
        <w:contextualSpacing/>
        <w:rPr>
          <w:rFonts w:ascii="OrigGarmnd BT" w:hAnsi="OrigGarmnd BT"/>
          <w:sz w:val="17"/>
          <w:szCs w:val="17"/>
          <w:lang w:val="en-GB"/>
        </w:rPr>
      </w:pPr>
      <w:r w:rsidRPr="003C243E">
        <w:rPr>
          <w:rStyle w:val="FootnoteReference"/>
          <w:rFonts w:ascii="OrigGarmnd BT" w:hAnsi="OrigGarmnd BT"/>
          <w:sz w:val="17"/>
          <w:szCs w:val="17"/>
        </w:rPr>
        <w:footnoteRef/>
      </w:r>
      <w:r w:rsidRPr="003C243E">
        <w:rPr>
          <w:rFonts w:ascii="OrigGarmnd BT" w:hAnsi="OrigGarmnd BT"/>
          <w:sz w:val="17"/>
          <w:szCs w:val="17"/>
        </w:rPr>
        <w:t xml:space="preserve"> </w:t>
      </w:r>
      <w:r w:rsidRPr="003C243E">
        <w:rPr>
          <w:rFonts w:ascii="OrigGarmnd BT" w:hAnsi="OrigGarmnd BT" w:cs="Times New Roman"/>
          <w:sz w:val="17"/>
          <w:szCs w:val="17"/>
        </w:rPr>
        <w:t>Ş</w:t>
      </w:r>
      <w:r w:rsidRPr="003C243E">
        <w:rPr>
          <w:rFonts w:ascii="OrigGarmnd BT" w:hAnsi="OrigGarmnd BT"/>
          <w:sz w:val="17"/>
          <w:szCs w:val="17"/>
        </w:rPr>
        <w:t>enocak 2005, 82.</w:t>
      </w:r>
    </w:p>
  </w:footnote>
  <w:footnote w:id="57">
    <w:p w14:paraId="64B172DB" w14:textId="77777777" w:rsidR="00AE3017" w:rsidRPr="003C243E" w:rsidRDefault="00AE3017" w:rsidP="00477BAE">
      <w:pPr>
        <w:pStyle w:val="FootnoteText"/>
        <w:ind w:firstLine="397"/>
        <w:contextualSpacing/>
        <w:rPr>
          <w:rFonts w:ascii="OrigGarmnd BT" w:hAnsi="OrigGarmnd BT" w:cs="Times New Roman"/>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Konzett und Şenocak 2003,</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132.</w:t>
      </w:r>
    </w:p>
  </w:footnote>
  <w:footnote w:id="58">
    <w:p w14:paraId="06902416" w14:textId="77777777" w:rsidR="00AE3017" w:rsidRPr="003C243E" w:rsidRDefault="00AE3017" w:rsidP="00477BAE">
      <w:pPr>
        <w:pStyle w:val="FootnoteText"/>
        <w:ind w:firstLine="397"/>
        <w:contextualSpacing/>
        <w:rPr>
          <w:rFonts w:ascii="OrigGarmnd BT" w:hAnsi="OrigGarmnd BT"/>
          <w:sz w:val="17"/>
          <w:szCs w:val="17"/>
        </w:rPr>
      </w:pPr>
      <w:r w:rsidRPr="003C243E">
        <w:rPr>
          <w:rStyle w:val="FootnoteReference"/>
          <w:rFonts w:ascii="OrigGarmnd BT" w:hAnsi="OrigGarmnd BT" w:cs="Times New Roman"/>
          <w:sz w:val="17"/>
          <w:szCs w:val="17"/>
        </w:rPr>
        <w:footnoteRef/>
      </w:r>
      <w:r w:rsidRPr="003C243E">
        <w:rPr>
          <w:rFonts w:ascii="OrigGarmnd BT" w:hAnsi="OrigGarmnd BT" w:cs="Times New Roman"/>
          <w:sz w:val="17"/>
          <w:szCs w:val="17"/>
        </w:rPr>
        <w:t xml:space="preserve"> Şenocak 2011,</w:t>
      </w:r>
      <w:r w:rsidRPr="003C243E">
        <w:rPr>
          <w:rFonts w:ascii="OrigGarmnd BT" w:hAnsi="OrigGarmnd BT" w:cs="Times New Roman"/>
          <w:color w:val="000000"/>
          <w:sz w:val="17"/>
          <w:szCs w:val="17"/>
        </w:rPr>
        <w:t xml:space="preserve"> </w:t>
      </w:r>
      <w:r w:rsidRPr="003C243E">
        <w:rPr>
          <w:rFonts w:ascii="OrigGarmnd BT" w:hAnsi="OrigGarmnd BT" w:cs="Times New Roman"/>
          <w:sz w:val="17"/>
          <w:szCs w:val="17"/>
        </w:rPr>
        <w:t>106.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56239" w14:textId="022702B6" w:rsidR="007916D6" w:rsidRDefault="007916D6">
    <w:pPr>
      <w:pStyle w:val="Header"/>
    </w:pPr>
    <w:r>
      <w:rPr>
        <w:noProof/>
      </w:rPr>
      <w:pict w14:anchorId="05CC1A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4890594" o:spid="_x0000_s2050" type="#_x0000_t136" style="position:absolute;margin-left:0;margin-top:0;width:314.05pt;height:125.6pt;rotation:315;z-index:-251655168;mso-position-horizontal:center;mso-position-horizontal-relative:margin;mso-position-vertical:center;mso-position-vertical-relative:margin" o:allowincell="f" fillcolor="gray [1629]" stroked="f">
          <v:fill opacity=".5"/>
          <v:textpath style="font-family:&quot;Times New Roman&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8CFBC5" w14:textId="7ECA37F0" w:rsidR="007916D6" w:rsidRDefault="007916D6">
    <w:pPr>
      <w:pStyle w:val="Header"/>
    </w:pPr>
    <w:r>
      <w:rPr>
        <w:noProof/>
      </w:rPr>
      <w:pict w14:anchorId="6F828F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4890595" o:spid="_x0000_s2051" type="#_x0000_t136" style="position:absolute;margin-left:0;margin-top:0;width:314.05pt;height:125.6pt;rotation:315;z-index:-251653120;mso-position-horizontal:center;mso-position-horizontal-relative:margin;mso-position-vertical:center;mso-position-vertical-relative:margin" o:allowincell="f" fillcolor="gray [1629]" stroked="f">
          <v:fill opacity=".5"/>
          <v:textpath style="font-family:&quot;Times New Roman&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DD6C25" w14:textId="21619692" w:rsidR="007916D6" w:rsidRDefault="007916D6">
    <w:pPr>
      <w:pStyle w:val="Header"/>
    </w:pPr>
    <w:r>
      <w:rPr>
        <w:noProof/>
      </w:rPr>
      <w:pict w14:anchorId="6321C3C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4890593" o:spid="_x0000_s2049" type="#_x0000_t136" style="position:absolute;margin-left:0;margin-top:0;width:314.05pt;height:125.6pt;rotation:315;z-index:-251657216;mso-position-horizontal:center;mso-position-horizontal-relative:margin;mso-position-vertical:center;mso-position-vertical-relative:margin" o:allowincell="f" fillcolor="gray [1629]" stroked="f">
          <v:fill opacity=".5"/>
          <v:textpath style="font-family:&quot;Times New Roman&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14493B"/>
    <w:multiLevelType w:val="hybridMultilevel"/>
    <w:tmpl w:val="5A026836"/>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2E7E563D"/>
    <w:multiLevelType w:val="hybridMultilevel"/>
    <w:tmpl w:val="D206C7E6"/>
    <w:lvl w:ilvl="0" w:tplc="04F461C2">
      <w:numFmt w:val="bullet"/>
      <w:lvlText w:val="-"/>
      <w:lvlJc w:val="left"/>
      <w:pPr>
        <w:ind w:left="720" w:hanging="360"/>
      </w:pPr>
      <w:rPr>
        <w:rFonts w:ascii="Times New Roman" w:eastAsia="WenQuanYi Zen Hei Sharp"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12277A"/>
    <w:multiLevelType w:val="hybridMultilevel"/>
    <w:tmpl w:val="B1CA29DC"/>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3" w15:restartNumberingAfterBreak="0">
    <w:nsid w:val="3FB54649"/>
    <w:multiLevelType w:val="hybridMultilevel"/>
    <w:tmpl w:val="2B66399C"/>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40525966"/>
    <w:multiLevelType w:val="multilevel"/>
    <w:tmpl w:val="CD329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81243F"/>
    <w:multiLevelType w:val="multilevel"/>
    <w:tmpl w:val="95821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034CCE"/>
    <w:multiLevelType w:val="hybridMultilevel"/>
    <w:tmpl w:val="9FA03740"/>
    <w:lvl w:ilvl="0" w:tplc="AAE809CA">
      <w:start w:val="1"/>
      <w:numFmt w:val="upperRoman"/>
      <w:lvlText w:val="%1."/>
      <w:lvlJc w:val="left"/>
      <w:pPr>
        <w:ind w:left="1080" w:hanging="72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7E167170"/>
    <w:multiLevelType w:val="hybridMultilevel"/>
    <w:tmpl w:val="6910EA0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7F037A32"/>
    <w:multiLevelType w:val="hybridMultilevel"/>
    <w:tmpl w:val="67EC3A5A"/>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8"/>
  </w:num>
  <w:num w:numId="5">
    <w:abstractNumId w:val="6"/>
  </w:num>
  <w:num w:numId="6">
    <w:abstractNumId w:val="0"/>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28D9"/>
    <w:rsid w:val="00025095"/>
    <w:rsid w:val="000349F8"/>
    <w:rsid w:val="000354DB"/>
    <w:rsid w:val="000470A5"/>
    <w:rsid w:val="00055A6A"/>
    <w:rsid w:val="00073A64"/>
    <w:rsid w:val="000C2C00"/>
    <w:rsid w:val="0012072B"/>
    <w:rsid w:val="0016596E"/>
    <w:rsid w:val="001B7C9A"/>
    <w:rsid w:val="001D3CCC"/>
    <w:rsid w:val="0022317A"/>
    <w:rsid w:val="00232C45"/>
    <w:rsid w:val="00236419"/>
    <w:rsid w:val="0024186D"/>
    <w:rsid w:val="00245F74"/>
    <w:rsid w:val="00252FFD"/>
    <w:rsid w:val="00263EBB"/>
    <w:rsid w:val="0027397B"/>
    <w:rsid w:val="002A3374"/>
    <w:rsid w:val="002A36F5"/>
    <w:rsid w:val="002B7E89"/>
    <w:rsid w:val="002E2A21"/>
    <w:rsid w:val="002F7FB8"/>
    <w:rsid w:val="00314FDC"/>
    <w:rsid w:val="00326963"/>
    <w:rsid w:val="0033356B"/>
    <w:rsid w:val="00346BAA"/>
    <w:rsid w:val="00353AC8"/>
    <w:rsid w:val="0037559D"/>
    <w:rsid w:val="003A1C57"/>
    <w:rsid w:val="003C243E"/>
    <w:rsid w:val="003C4845"/>
    <w:rsid w:val="003E2479"/>
    <w:rsid w:val="003E25EF"/>
    <w:rsid w:val="003E2EC7"/>
    <w:rsid w:val="003F0E46"/>
    <w:rsid w:val="003F6B6A"/>
    <w:rsid w:val="004116C3"/>
    <w:rsid w:val="0043327C"/>
    <w:rsid w:val="00434D10"/>
    <w:rsid w:val="00477BAE"/>
    <w:rsid w:val="004834EB"/>
    <w:rsid w:val="004A0FF4"/>
    <w:rsid w:val="004B2602"/>
    <w:rsid w:val="004D488A"/>
    <w:rsid w:val="00503FD3"/>
    <w:rsid w:val="00533849"/>
    <w:rsid w:val="005355B5"/>
    <w:rsid w:val="005455B2"/>
    <w:rsid w:val="00545626"/>
    <w:rsid w:val="005628D9"/>
    <w:rsid w:val="00571027"/>
    <w:rsid w:val="00597551"/>
    <w:rsid w:val="00597984"/>
    <w:rsid w:val="005D451A"/>
    <w:rsid w:val="005F1B1C"/>
    <w:rsid w:val="006112FF"/>
    <w:rsid w:val="00630951"/>
    <w:rsid w:val="00651293"/>
    <w:rsid w:val="00652455"/>
    <w:rsid w:val="006545C3"/>
    <w:rsid w:val="00673555"/>
    <w:rsid w:val="00684473"/>
    <w:rsid w:val="00694CE1"/>
    <w:rsid w:val="006A7E79"/>
    <w:rsid w:val="006B1A4B"/>
    <w:rsid w:val="006B6B59"/>
    <w:rsid w:val="006C3B71"/>
    <w:rsid w:val="006F7294"/>
    <w:rsid w:val="00714EA2"/>
    <w:rsid w:val="00716389"/>
    <w:rsid w:val="007251CB"/>
    <w:rsid w:val="00736CAB"/>
    <w:rsid w:val="00761BBB"/>
    <w:rsid w:val="00762BDC"/>
    <w:rsid w:val="00762C61"/>
    <w:rsid w:val="00771180"/>
    <w:rsid w:val="00781B18"/>
    <w:rsid w:val="00784DEE"/>
    <w:rsid w:val="007916D6"/>
    <w:rsid w:val="007A3B41"/>
    <w:rsid w:val="007F3BF3"/>
    <w:rsid w:val="007F4200"/>
    <w:rsid w:val="00801C84"/>
    <w:rsid w:val="008025E4"/>
    <w:rsid w:val="00826B2D"/>
    <w:rsid w:val="00847B1A"/>
    <w:rsid w:val="00851EF1"/>
    <w:rsid w:val="00861982"/>
    <w:rsid w:val="0087073D"/>
    <w:rsid w:val="008842C2"/>
    <w:rsid w:val="008A317D"/>
    <w:rsid w:val="008A5608"/>
    <w:rsid w:val="008C471A"/>
    <w:rsid w:val="008F1685"/>
    <w:rsid w:val="00906A37"/>
    <w:rsid w:val="0090774A"/>
    <w:rsid w:val="00910D06"/>
    <w:rsid w:val="009155EF"/>
    <w:rsid w:val="00917BEE"/>
    <w:rsid w:val="00921449"/>
    <w:rsid w:val="0093384E"/>
    <w:rsid w:val="00947F76"/>
    <w:rsid w:val="00961D71"/>
    <w:rsid w:val="00965E47"/>
    <w:rsid w:val="00982FD3"/>
    <w:rsid w:val="009917A8"/>
    <w:rsid w:val="009B5C14"/>
    <w:rsid w:val="009D07D9"/>
    <w:rsid w:val="009F44AB"/>
    <w:rsid w:val="00A03DDD"/>
    <w:rsid w:val="00A2083B"/>
    <w:rsid w:val="00A250EE"/>
    <w:rsid w:val="00A45128"/>
    <w:rsid w:val="00A531CA"/>
    <w:rsid w:val="00A53A4E"/>
    <w:rsid w:val="00A57AE4"/>
    <w:rsid w:val="00A707EB"/>
    <w:rsid w:val="00A86A45"/>
    <w:rsid w:val="00A87C7E"/>
    <w:rsid w:val="00A957E7"/>
    <w:rsid w:val="00AB0486"/>
    <w:rsid w:val="00AC4247"/>
    <w:rsid w:val="00AD0618"/>
    <w:rsid w:val="00AE3017"/>
    <w:rsid w:val="00B36663"/>
    <w:rsid w:val="00B50313"/>
    <w:rsid w:val="00B55B62"/>
    <w:rsid w:val="00B55C9F"/>
    <w:rsid w:val="00B657B4"/>
    <w:rsid w:val="00B679A3"/>
    <w:rsid w:val="00B91890"/>
    <w:rsid w:val="00B96303"/>
    <w:rsid w:val="00BB2AF4"/>
    <w:rsid w:val="00BC1E9C"/>
    <w:rsid w:val="00BC3233"/>
    <w:rsid w:val="00BC79C1"/>
    <w:rsid w:val="00BF05BF"/>
    <w:rsid w:val="00BF3792"/>
    <w:rsid w:val="00C02849"/>
    <w:rsid w:val="00C04055"/>
    <w:rsid w:val="00C07CF2"/>
    <w:rsid w:val="00C23A97"/>
    <w:rsid w:val="00C354B2"/>
    <w:rsid w:val="00C47094"/>
    <w:rsid w:val="00CB13DD"/>
    <w:rsid w:val="00CB14AB"/>
    <w:rsid w:val="00CB60F4"/>
    <w:rsid w:val="00CB6C29"/>
    <w:rsid w:val="00CF19D0"/>
    <w:rsid w:val="00CF6C7C"/>
    <w:rsid w:val="00D06A20"/>
    <w:rsid w:val="00D1336C"/>
    <w:rsid w:val="00D23B39"/>
    <w:rsid w:val="00D30D31"/>
    <w:rsid w:val="00D66042"/>
    <w:rsid w:val="00DA7D90"/>
    <w:rsid w:val="00DB6FAB"/>
    <w:rsid w:val="00DD79C5"/>
    <w:rsid w:val="00DE7D58"/>
    <w:rsid w:val="00DF3EB7"/>
    <w:rsid w:val="00E030D2"/>
    <w:rsid w:val="00E05482"/>
    <w:rsid w:val="00E065EF"/>
    <w:rsid w:val="00E260F1"/>
    <w:rsid w:val="00E324E5"/>
    <w:rsid w:val="00E67E42"/>
    <w:rsid w:val="00E748B8"/>
    <w:rsid w:val="00E80ED4"/>
    <w:rsid w:val="00E9249A"/>
    <w:rsid w:val="00EA5DED"/>
    <w:rsid w:val="00EB287C"/>
    <w:rsid w:val="00EB7EDC"/>
    <w:rsid w:val="00EC7E58"/>
    <w:rsid w:val="00ED77ED"/>
    <w:rsid w:val="00EE2922"/>
    <w:rsid w:val="00EF68F4"/>
    <w:rsid w:val="00F00E48"/>
    <w:rsid w:val="00F025EC"/>
    <w:rsid w:val="00F26037"/>
    <w:rsid w:val="00F317CE"/>
    <w:rsid w:val="00F65880"/>
    <w:rsid w:val="00FA2083"/>
    <w:rsid w:val="00FC11CE"/>
    <w:rsid w:val="00FD52E4"/>
    <w:rsid w:val="00FE6371"/>
    <w:rsid w:val="00FF1B91"/>
    <w:rsid w:val="00FF42F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0F132DF"/>
  <w15:docId w15:val="{4BB43E5A-0D84-4689-BBF9-E298FE56D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3DDD"/>
    <w:pPr>
      <w:spacing w:after="200" w:line="360" w:lineRule="auto"/>
      <w:jc w:val="both"/>
    </w:pPr>
    <w:rPr>
      <w:rFonts w:ascii="Times New Roman" w:hAnsi="Times New Roman"/>
      <w:sz w:val="24"/>
      <w:lang w:val="de-DE"/>
    </w:rPr>
  </w:style>
  <w:style w:type="paragraph" w:styleId="Heading1">
    <w:name w:val="heading 1"/>
    <w:aliases w:val="Heading 1 Thrs"/>
    <w:basedOn w:val="Normal"/>
    <w:next w:val="Normal"/>
    <w:link w:val="Heading1Char"/>
    <w:uiPriority w:val="9"/>
    <w:qFormat/>
    <w:rsid w:val="00FD52E4"/>
    <w:pPr>
      <w:keepNext/>
      <w:keepLines/>
      <w:spacing w:before="240" w:after="0" w:line="276" w:lineRule="auto"/>
      <w:outlineLvl w:val="0"/>
    </w:pPr>
    <w:rPr>
      <w:rFonts w:eastAsiaTheme="majorEastAsia" w:cstheme="majorBidi"/>
      <w:b/>
      <w:szCs w:val="32"/>
    </w:rPr>
  </w:style>
  <w:style w:type="paragraph" w:styleId="Heading2">
    <w:name w:val="heading 2"/>
    <w:aliases w:val="Heading 2 Thrs"/>
    <w:basedOn w:val="Normal"/>
    <w:next w:val="Normal"/>
    <w:link w:val="Heading2Char"/>
    <w:uiPriority w:val="9"/>
    <w:unhideWhenUsed/>
    <w:qFormat/>
    <w:rsid w:val="00FD52E4"/>
    <w:pPr>
      <w:keepNext/>
      <w:keepLines/>
      <w:spacing w:before="40" w:after="0" w:line="276"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03DDD"/>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heresa">
    <w:name w:val="Theresa"/>
    <w:basedOn w:val="Normal"/>
    <w:link w:val="TheresaChar"/>
    <w:qFormat/>
    <w:rsid w:val="00FD52E4"/>
    <w:pPr>
      <w:spacing w:after="0"/>
    </w:pPr>
    <w:rPr>
      <w:rFonts w:cs="Times New Roman"/>
      <w:szCs w:val="24"/>
    </w:rPr>
  </w:style>
  <w:style w:type="character" w:customStyle="1" w:styleId="TheresaChar">
    <w:name w:val="Theresa Char"/>
    <w:basedOn w:val="DefaultParagraphFont"/>
    <w:link w:val="Theresa"/>
    <w:rsid w:val="00FD52E4"/>
    <w:rPr>
      <w:rFonts w:ascii="Times New Roman" w:hAnsi="Times New Roman" w:cs="Times New Roman"/>
      <w:sz w:val="24"/>
      <w:szCs w:val="24"/>
      <w:lang w:val="de-DE"/>
    </w:rPr>
  </w:style>
  <w:style w:type="character" w:customStyle="1" w:styleId="Heading1Char">
    <w:name w:val="Heading 1 Char"/>
    <w:aliases w:val="Heading 1 Thrs Char"/>
    <w:basedOn w:val="DefaultParagraphFont"/>
    <w:link w:val="Heading1"/>
    <w:uiPriority w:val="9"/>
    <w:rsid w:val="00FD52E4"/>
    <w:rPr>
      <w:rFonts w:ascii="Times New Roman" w:eastAsiaTheme="majorEastAsia" w:hAnsi="Times New Roman" w:cstheme="majorBidi"/>
      <w:b/>
      <w:sz w:val="24"/>
      <w:szCs w:val="32"/>
      <w:lang w:val="de-DE"/>
    </w:rPr>
  </w:style>
  <w:style w:type="character" w:customStyle="1" w:styleId="Heading2Char">
    <w:name w:val="Heading 2 Char"/>
    <w:aliases w:val="Heading 2 Thrs Char"/>
    <w:basedOn w:val="DefaultParagraphFont"/>
    <w:link w:val="Heading2"/>
    <w:uiPriority w:val="9"/>
    <w:rsid w:val="00FD52E4"/>
    <w:rPr>
      <w:rFonts w:ascii="Times New Roman" w:eastAsiaTheme="majorEastAsia" w:hAnsi="Times New Roman" w:cstheme="majorBidi"/>
      <w:b/>
      <w:sz w:val="24"/>
      <w:szCs w:val="26"/>
      <w:lang w:val="de-DE"/>
    </w:rPr>
  </w:style>
  <w:style w:type="character" w:customStyle="1" w:styleId="Heading3Char">
    <w:name w:val="Heading 3 Char"/>
    <w:basedOn w:val="DefaultParagraphFont"/>
    <w:link w:val="Heading3"/>
    <w:uiPriority w:val="9"/>
    <w:rsid w:val="00A03DDD"/>
    <w:rPr>
      <w:rFonts w:ascii="Times New Roman" w:eastAsiaTheme="majorEastAsia" w:hAnsi="Times New Roman" w:cstheme="majorBidi"/>
      <w:sz w:val="24"/>
      <w:szCs w:val="24"/>
      <w:lang w:val="de-DE"/>
    </w:rPr>
  </w:style>
  <w:style w:type="paragraph" w:customStyle="1" w:styleId="KnigNeu">
    <w:name w:val="König&amp;Neu"/>
    <w:basedOn w:val="Normal"/>
    <w:link w:val="KnigNeuChar"/>
    <w:autoRedefine/>
    <w:qFormat/>
    <w:rsid w:val="00716389"/>
    <w:pPr>
      <w:spacing w:after="0" w:line="240" w:lineRule="exact"/>
      <w:ind w:firstLine="397"/>
    </w:pPr>
    <w:rPr>
      <w:rFonts w:ascii="OrigGarmnd BT" w:hAnsi="OrigGarmnd BT"/>
      <w:sz w:val="20"/>
      <w:lang w:val="de-AT"/>
    </w:rPr>
  </w:style>
  <w:style w:type="paragraph" w:styleId="FootnoteText">
    <w:name w:val="footnote text"/>
    <w:basedOn w:val="Normal"/>
    <w:link w:val="FootnoteTextChar"/>
    <w:uiPriority w:val="99"/>
    <w:unhideWhenUsed/>
    <w:rsid w:val="005628D9"/>
    <w:pPr>
      <w:spacing w:after="0" w:line="240" w:lineRule="auto"/>
    </w:pPr>
    <w:rPr>
      <w:sz w:val="20"/>
      <w:szCs w:val="20"/>
    </w:rPr>
  </w:style>
  <w:style w:type="character" w:customStyle="1" w:styleId="KnigNeuChar">
    <w:name w:val="König&amp;Neu Char"/>
    <w:basedOn w:val="DefaultParagraphFont"/>
    <w:link w:val="KnigNeu"/>
    <w:rsid w:val="00716389"/>
    <w:rPr>
      <w:rFonts w:ascii="OrigGarmnd BT" w:hAnsi="OrigGarmnd BT"/>
      <w:sz w:val="20"/>
    </w:rPr>
  </w:style>
  <w:style w:type="character" w:customStyle="1" w:styleId="FootnoteTextChar">
    <w:name w:val="Footnote Text Char"/>
    <w:basedOn w:val="DefaultParagraphFont"/>
    <w:link w:val="FootnoteText"/>
    <w:uiPriority w:val="99"/>
    <w:rsid w:val="005628D9"/>
    <w:rPr>
      <w:rFonts w:ascii="Times New Roman" w:hAnsi="Times New Roman"/>
      <w:sz w:val="20"/>
      <w:szCs w:val="20"/>
      <w:lang w:val="de-DE"/>
    </w:rPr>
  </w:style>
  <w:style w:type="character" w:styleId="FootnoteReference">
    <w:name w:val="footnote reference"/>
    <w:basedOn w:val="DefaultParagraphFont"/>
    <w:uiPriority w:val="99"/>
    <w:unhideWhenUsed/>
    <w:rsid w:val="005628D9"/>
    <w:rPr>
      <w:vertAlign w:val="superscript"/>
    </w:rPr>
  </w:style>
  <w:style w:type="character" w:styleId="Hyperlink">
    <w:name w:val="Hyperlink"/>
    <w:basedOn w:val="DefaultParagraphFont"/>
    <w:uiPriority w:val="99"/>
    <w:unhideWhenUsed/>
    <w:rsid w:val="00762C61"/>
    <w:rPr>
      <w:color w:val="0000FF"/>
      <w:u w:val="single"/>
    </w:rPr>
  </w:style>
  <w:style w:type="paragraph" w:styleId="NormalWeb">
    <w:name w:val="Normal (Web)"/>
    <w:basedOn w:val="Normal"/>
    <w:uiPriority w:val="99"/>
    <w:unhideWhenUsed/>
    <w:rsid w:val="00762C61"/>
    <w:pPr>
      <w:spacing w:before="100" w:beforeAutospacing="1" w:after="100" w:afterAutospacing="1" w:line="240" w:lineRule="auto"/>
      <w:jc w:val="left"/>
    </w:pPr>
    <w:rPr>
      <w:rFonts w:eastAsia="Times New Roman" w:cs="Times New Roman"/>
      <w:szCs w:val="24"/>
      <w:lang w:val="de-AT" w:eastAsia="de-AT"/>
    </w:rPr>
  </w:style>
  <w:style w:type="character" w:styleId="Strong">
    <w:name w:val="Strong"/>
    <w:basedOn w:val="DefaultParagraphFont"/>
    <w:uiPriority w:val="22"/>
    <w:qFormat/>
    <w:rsid w:val="00762C61"/>
    <w:rPr>
      <w:b/>
      <w:bCs/>
    </w:rPr>
  </w:style>
  <w:style w:type="character" w:customStyle="1" w:styleId="tocnumber1">
    <w:name w:val="tocnumber1"/>
    <w:basedOn w:val="DefaultParagraphFont"/>
    <w:rsid w:val="00762C61"/>
  </w:style>
  <w:style w:type="character" w:customStyle="1" w:styleId="toctoggle">
    <w:name w:val="toctoggle"/>
    <w:basedOn w:val="DefaultParagraphFont"/>
    <w:rsid w:val="00762C61"/>
  </w:style>
  <w:style w:type="character" w:customStyle="1" w:styleId="toctext">
    <w:name w:val="toctext"/>
    <w:basedOn w:val="DefaultParagraphFont"/>
    <w:rsid w:val="00762C61"/>
  </w:style>
  <w:style w:type="character" w:customStyle="1" w:styleId="mw-headline">
    <w:name w:val="mw-headline"/>
    <w:basedOn w:val="DefaultParagraphFont"/>
    <w:rsid w:val="00762C61"/>
  </w:style>
  <w:style w:type="character" w:customStyle="1" w:styleId="mw-editsection1">
    <w:name w:val="mw-editsection1"/>
    <w:basedOn w:val="DefaultParagraphFont"/>
    <w:rsid w:val="00762C61"/>
  </w:style>
  <w:style w:type="character" w:customStyle="1" w:styleId="mw-editsection-bracket">
    <w:name w:val="mw-editsection-bracket"/>
    <w:basedOn w:val="DefaultParagraphFont"/>
    <w:rsid w:val="00762C61"/>
  </w:style>
  <w:style w:type="character" w:customStyle="1" w:styleId="mw-cite-backlink">
    <w:name w:val="mw-cite-backlink"/>
    <w:basedOn w:val="DefaultParagraphFont"/>
    <w:rsid w:val="00762C61"/>
  </w:style>
  <w:style w:type="character" w:customStyle="1" w:styleId="reference-text">
    <w:name w:val="reference-text"/>
    <w:basedOn w:val="DefaultParagraphFont"/>
    <w:rsid w:val="00762C61"/>
  </w:style>
  <w:style w:type="character" w:customStyle="1" w:styleId="cite-accessibility-label1">
    <w:name w:val="cite-accessibility-label1"/>
    <w:basedOn w:val="DefaultParagraphFont"/>
    <w:rsid w:val="00762C61"/>
    <w:rPr>
      <w:bdr w:val="none" w:sz="0" w:space="0" w:color="auto" w:frame="1"/>
    </w:rPr>
  </w:style>
  <w:style w:type="character" w:customStyle="1" w:styleId="arabic">
    <w:name w:val="arabic"/>
    <w:basedOn w:val="DefaultParagraphFont"/>
    <w:rsid w:val="00762C61"/>
  </w:style>
  <w:style w:type="paragraph" w:styleId="EndnoteText">
    <w:name w:val="endnote text"/>
    <w:basedOn w:val="Normal"/>
    <w:link w:val="EndnoteTextChar"/>
    <w:uiPriority w:val="99"/>
    <w:unhideWhenUsed/>
    <w:rsid w:val="00762C61"/>
    <w:pPr>
      <w:spacing w:after="0" w:line="240" w:lineRule="auto"/>
      <w:jc w:val="left"/>
    </w:pPr>
    <w:rPr>
      <w:rFonts w:asciiTheme="minorHAnsi" w:hAnsiTheme="minorHAnsi"/>
      <w:sz w:val="20"/>
      <w:szCs w:val="20"/>
      <w:lang w:val="de-AT"/>
    </w:rPr>
  </w:style>
  <w:style w:type="character" w:customStyle="1" w:styleId="EndnoteTextChar">
    <w:name w:val="Endnote Text Char"/>
    <w:basedOn w:val="DefaultParagraphFont"/>
    <w:link w:val="EndnoteText"/>
    <w:uiPriority w:val="99"/>
    <w:rsid w:val="00762C61"/>
    <w:rPr>
      <w:sz w:val="20"/>
      <w:szCs w:val="20"/>
    </w:rPr>
  </w:style>
  <w:style w:type="character" w:styleId="EndnoteReference">
    <w:name w:val="endnote reference"/>
    <w:basedOn w:val="DefaultParagraphFont"/>
    <w:unhideWhenUsed/>
    <w:rsid w:val="00762C61"/>
    <w:rPr>
      <w:vertAlign w:val="superscript"/>
    </w:rPr>
  </w:style>
  <w:style w:type="character" w:customStyle="1" w:styleId="ipa">
    <w:name w:val="ipa"/>
    <w:basedOn w:val="DefaultParagraphFont"/>
    <w:rsid w:val="00762C61"/>
  </w:style>
  <w:style w:type="paragraph" w:styleId="BalloonText">
    <w:name w:val="Balloon Text"/>
    <w:basedOn w:val="Normal"/>
    <w:link w:val="BalloonTextChar"/>
    <w:uiPriority w:val="99"/>
    <w:semiHidden/>
    <w:unhideWhenUsed/>
    <w:rsid w:val="00762C61"/>
    <w:pPr>
      <w:spacing w:after="0" w:line="240" w:lineRule="auto"/>
      <w:jc w:val="left"/>
    </w:pPr>
    <w:rPr>
      <w:rFonts w:ascii="Segoe UI" w:hAnsi="Segoe UI" w:cs="Segoe UI"/>
      <w:sz w:val="18"/>
      <w:szCs w:val="18"/>
      <w:lang w:val="de-AT"/>
    </w:rPr>
  </w:style>
  <w:style w:type="character" w:customStyle="1" w:styleId="BalloonTextChar">
    <w:name w:val="Balloon Text Char"/>
    <w:basedOn w:val="DefaultParagraphFont"/>
    <w:link w:val="BalloonText"/>
    <w:uiPriority w:val="99"/>
    <w:semiHidden/>
    <w:rsid w:val="00762C61"/>
    <w:rPr>
      <w:rFonts w:ascii="Segoe UI" w:hAnsi="Segoe UI" w:cs="Segoe UI"/>
      <w:sz w:val="18"/>
      <w:szCs w:val="18"/>
    </w:rPr>
  </w:style>
  <w:style w:type="paragraph" w:styleId="Header">
    <w:name w:val="header"/>
    <w:basedOn w:val="Normal"/>
    <w:link w:val="HeaderChar"/>
    <w:uiPriority w:val="99"/>
    <w:unhideWhenUsed/>
    <w:rsid w:val="00762C61"/>
    <w:pPr>
      <w:tabs>
        <w:tab w:val="center" w:pos="4536"/>
        <w:tab w:val="right" w:pos="9072"/>
      </w:tabs>
      <w:spacing w:after="0" w:line="240" w:lineRule="auto"/>
      <w:jc w:val="left"/>
    </w:pPr>
    <w:rPr>
      <w:rFonts w:asciiTheme="minorHAnsi" w:hAnsiTheme="minorHAnsi"/>
      <w:sz w:val="22"/>
      <w:lang w:val="de-AT"/>
    </w:rPr>
  </w:style>
  <w:style w:type="character" w:customStyle="1" w:styleId="HeaderChar">
    <w:name w:val="Header Char"/>
    <w:basedOn w:val="DefaultParagraphFont"/>
    <w:link w:val="Header"/>
    <w:uiPriority w:val="99"/>
    <w:rsid w:val="00762C61"/>
  </w:style>
  <w:style w:type="paragraph" w:styleId="Footer">
    <w:name w:val="footer"/>
    <w:basedOn w:val="Normal"/>
    <w:link w:val="FooterChar"/>
    <w:uiPriority w:val="99"/>
    <w:unhideWhenUsed/>
    <w:rsid w:val="00762C61"/>
    <w:pPr>
      <w:tabs>
        <w:tab w:val="center" w:pos="4536"/>
        <w:tab w:val="right" w:pos="9072"/>
      </w:tabs>
      <w:spacing w:after="0" w:line="240" w:lineRule="auto"/>
      <w:jc w:val="left"/>
    </w:pPr>
    <w:rPr>
      <w:rFonts w:asciiTheme="minorHAnsi" w:hAnsiTheme="minorHAnsi"/>
      <w:sz w:val="22"/>
      <w:lang w:val="de-AT"/>
    </w:rPr>
  </w:style>
  <w:style w:type="character" w:customStyle="1" w:styleId="FooterChar">
    <w:name w:val="Footer Char"/>
    <w:basedOn w:val="DefaultParagraphFont"/>
    <w:link w:val="Footer"/>
    <w:uiPriority w:val="99"/>
    <w:rsid w:val="00762C61"/>
  </w:style>
  <w:style w:type="paragraph" w:styleId="ListParagraph">
    <w:name w:val="List Paragraph"/>
    <w:basedOn w:val="Normal"/>
    <w:uiPriority w:val="34"/>
    <w:qFormat/>
    <w:rsid w:val="00762C61"/>
    <w:pPr>
      <w:spacing w:after="160" w:line="259" w:lineRule="auto"/>
      <w:ind w:left="720"/>
      <w:contextualSpacing/>
      <w:jc w:val="left"/>
    </w:pPr>
    <w:rPr>
      <w:rFonts w:asciiTheme="minorHAnsi" w:hAnsiTheme="minorHAnsi"/>
      <w:sz w:val="22"/>
      <w:lang w:val="de-AT"/>
    </w:rPr>
  </w:style>
  <w:style w:type="character" w:customStyle="1" w:styleId="searchword1">
    <w:name w:val="searchword1"/>
    <w:basedOn w:val="DefaultParagraphFont"/>
    <w:rsid w:val="00762C61"/>
    <w:rPr>
      <w:shd w:val="clear" w:color="auto" w:fill="FFFBC3"/>
    </w:rPr>
  </w:style>
  <w:style w:type="paragraph" w:customStyle="1" w:styleId="KnigZitate">
    <w:name w:val="König_Zitate"/>
    <w:basedOn w:val="KnigNeu"/>
    <w:qFormat/>
    <w:rsid w:val="009917A8"/>
    <w:pPr>
      <w:spacing w:before="120" w:after="120" w:line="220" w:lineRule="exact"/>
      <w:ind w:left="567" w:right="567" w:firstLine="0"/>
    </w:pPr>
    <w:rPr>
      <w:sz w:val="18"/>
      <w:szCs w:val="18"/>
    </w:rPr>
  </w:style>
  <w:style w:type="paragraph" w:customStyle="1" w:styleId="KnigGedichte">
    <w:name w:val="König_Gedichte"/>
    <w:basedOn w:val="KnigZitate"/>
    <w:qFormat/>
    <w:rsid w:val="009917A8"/>
    <w:pPr>
      <w:spacing w:before="0" w:after="0"/>
    </w:pPr>
  </w:style>
  <w:style w:type="character" w:customStyle="1" w:styleId="Funotenanker">
    <w:name w:val="Fußnotenanker"/>
    <w:rsid w:val="00716389"/>
    <w:rPr>
      <w:vertAlign w:val="superscript"/>
    </w:rPr>
  </w:style>
  <w:style w:type="character" w:customStyle="1" w:styleId="Endnotenanker">
    <w:name w:val="Endnotenanker"/>
    <w:rsid w:val="00716389"/>
    <w:rPr>
      <w:vertAlign w:val="superscript"/>
    </w:rPr>
  </w:style>
  <w:style w:type="paragraph" w:customStyle="1" w:styleId="berschrift">
    <w:name w:val="Überschrift"/>
    <w:basedOn w:val="Normal"/>
    <w:next w:val="BodyText"/>
    <w:rsid w:val="00716389"/>
    <w:pPr>
      <w:keepNext/>
      <w:widowControl w:val="0"/>
      <w:suppressAutoHyphens/>
      <w:spacing w:before="240" w:after="120" w:line="240" w:lineRule="auto"/>
      <w:jc w:val="left"/>
    </w:pPr>
    <w:rPr>
      <w:rFonts w:ascii="Liberation Sans" w:eastAsia="Microsoft YaHei" w:hAnsi="Liberation Sans" w:cs="Mangal"/>
      <w:color w:val="00000A"/>
      <w:sz w:val="28"/>
      <w:szCs w:val="28"/>
      <w:lang w:eastAsia="zh-CN" w:bidi="hi-IN"/>
    </w:rPr>
  </w:style>
  <w:style w:type="paragraph" w:styleId="BodyText">
    <w:name w:val="Body Text"/>
    <w:basedOn w:val="Normal"/>
    <w:link w:val="BodyTextChar"/>
    <w:rsid w:val="00716389"/>
    <w:pPr>
      <w:widowControl w:val="0"/>
      <w:suppressAutoHyphens/>
      <w:spacing w:after="140" w:line="288" w:lineRule="auto"/>
      <w:jc w:val="left"/>
    </w:pPr>
    <w:rPr>
      <w:rFonts w:ascii="Liberation Serif" w:eastAsia="SimSun" w:hAnsi="Liberation Serif" w:cs="Mangal"/>
      <w:color w:val="00000A"/>
      <w:szCs w:val="24"/>
      <w:lang w:eastAsia="zh-CN" w:bidi="hi-IN"/>
    </w:rPr>
  </w:style>
  <w:style w:type="character" w:customStyle="1" w:styleId="BodyTextChar">
    <w:name w:val="Body Text Char"/>
    <w:basedOn w:val="DefaultParagraphFont"/>
    <w:link w:val="BodyText"/>
    <w:rsid w:val="00716389"/>
    <w:rPr>
      <w:rFonts w:ascii="Liberation Serif" w:eastAsia="SimSun" w:hAnsi="Liberation Serif" w:cs="Mangal"/>
      <w:color w:val="00000A"/>
      <w:sz w:val="24"/>
      <w:szCs w:val="24"/>
      <w:lang w:val="de-DE" w:eastAsia="zh-CN" w:bidi="hi-IN"/>
    </w:rPr>
  </w:style>
  <w:style w:type="paragraph" w:styleId="List">
    <w:name w:val="List"/>
    <w:basedOn w:val="BodyText"/>
    <w:rsid w:val="00716389"/>
  </w:style>
  <w:style w:type="paragraph" w:styleId="Caption">
    <w:name w:val="caption"/>
    <w:basedOn w:val="Normal"/>
    <w:rsid w:val="00716389"/>
    <w:pPr>
      <w:widowControl w:val="0"/>
      <w:suppressLineNumbers/>
      <w:suppressAutoHyphens/>
      <w:spacing w:before="120" w:after="120" w:line="240" w:lineRule="auto"/>
      <w:jc w:val="left"/>
    </w:pPr>
    <w:rPr>
      <w:rFonts w:ascii="Liberation Serif" w:eastAsia="SimSun" w:hAnsi="Liberation Serif" w:cs="Mangal"/>
      <w:i/>
      <w:iCs/>
      <w:color w:val="00000A"/>
      <w:szCs w:val="24"/>
      <w:lang w:eastAsia="zh-CN" w:bidi="hi-IN"/>
    </w:rPr>
  </w:style>
  <w:style w:type="paragraph" w:customStyle="1" w:styleId="Verzeichnis">
    <w:name w:val="Verzeichnis"/>
    <w:basedOn w:val="Normal"/>
    <w:rsid w:val="00716389"/>
    <w:pPr>
      <w:widowControl w:val="0"/>
      <w:suppressLineNumbers/>
      <w:suppressAutoHyphens/>
      <w:spacing w:after="0" w:line="240" w:lineRule="auto"/>
      <w:jc w:val="left"/>
    </w:pPr>
    <w:rPr>
      <w:rFonts w:ascii="Liberation Serif" w:eastAsia="SimSun" w:hAnsi="Liberation Serif" w:cs="Mangal"/>
      <w:color w:val="00000A"/>
      <w:szCs w:val="24"/>
      <w:lang w:eastAsia="zh-CN" w:bidi="hi-IN"/>
    </w:rPr>
  </w:style>
  <w:style w:type="paragraph" w:customStyle="1" w:styleId="Funote">
    <w:name w:val="Fußnote"/>
    <w:basedOn w:val="Normal"/>
    <w:rsid w:val="00716389"/>
    <w:pPr>
      <w:widowControl w:val="0"/>
      <w:suppressLineNumbers/>
      <w:suppressAutoHyphens/>
      <w:spacing w:after="0" w:line="240" w:lineRule="auto"/>
      <w:ind w:left="339" w:hanging="339"/>
      <w:jc w:val="left"/>
    </w:pPr>
    <w:rPr>
      <w:rFonts w:ascii="Liberation Serif" w:eastAsia="SimSun" w:hAnsi="Liberation Serif" w:cs="Mangal"/>
      <w:color w:val="00000A"/>
      <w:sz w:val="20"/>
      <w:szCs w:val="20"/>
      <w:lang w:eastAsia="zh-CN" w:bidi="hi-IN"/>
    </w:rPr>
  </w:style>
  <w:style w:type="paragraph" w:customStyle="1" w:styleId="Zitat1">
    <w:name w:val="Zitat1"/>
    <w:basedOn w:val="Normal"/>
    <w:rsid w:val="00716389"/>
    <w:pPr>
      <w:widowControl w:val="0"/>
      <w:suppressAutoHyphens/>
      <w:spacing w:after="283" w:line="240" w:lineRule="auto"/>
      <w:ind w:left="567" w:right="567"/>
      <w:jc w:val="left"/>
    </w:pPr>
    <w:rPr>
      <w:rFonts w:ascii="Liberation Serif" w:eastAsia="SimSun" w:hAnsi="Liberation Serif" w:cs="Mangal"/>
      <w:color w:val="00000A"/>
      <w:szCs w:val="24"/>
      <w:lang w:eastAsia="zh-CN" w:bidi="hi-IN"/>
    </w:rPr>
  </w:style>
  <w:style w:type="paragraph" w:customStyle="1" w:styleId="sdfootnote-western">
    <w:name w:val="sdfootnote-western"/>
    <w:basedOn w:val="Normal"/>
    <w:rsid w:val="00716389"/>
    <w:pPr>
      <w:spacing w:before="100" w:beforeAutospacing="1" w:after="159"/>
      <w:ind w:left="340" w:hanging="340"/>
      <w:jc w:val="left"/>
    </w:pPr>
    <w:rPr>
      <w:rFonts w:eastAsia="Times New Roman" w:cs="Times New Roman"/>
      <w:color w:val="00000A"/>
      <w:sz w:val="20"/>
      <w:szCs w:val="20"/>
      <w:lang w:eastAsia="de-DE"/>
    </w:rPr>
  </w:style>
  <w:style w:type="paragraph" w:customStyle="1" w:styleId="western">
    <w:name w:val="western"/>
    <w:basedOn w:val="Normal"/>
    <w:rsid w:val="00716389"/>
    <w:pPr>
      <w:spacing w:before="100" w:beforeAutospacing="1" w:after="119" w:line="288" w:lineRule="auto"/>
      <w:jc w:val="left"/>
    </w:pPr>
    <w:rPr>
      <w:rFonts w:eastAsia="Times New Roman" w:cs="Times New Roman"/>
      <w:color w:val="00000A"/>
      <w:szCs w:val="24"/>
      <w:lang w:eastAsia="de-DE"/>
    </w:rPr>
  </w:style>
  <w:style w:type="character" w:styleId="Emphasis">
    <w:name w:val="Emphasis"/>
    <w:basedOn w:val="DefaultParagraphFont"/>
    <w:uiPriority w:val="20"/>
    <w:qFormat/>
    <w:rsid w:val="00716389"/>
    <w:rPr>
      <w:i/>
      <w:iCs/>
    </w:rPr>
  </w:style>
  <w:style w:type="character" w:styleId="CommentReference">
    <w:name w:val="annotation reference"/>
    <w:basedOn w:val="DefaultParagraphFont"/>
    <w:uiPriority w:val="99"/>
    <w:semiHidden/>
    <w:unhideWhenUsed/>
    <w:rsid w:val="00716389"/>
    <w:rPr>
      <w:sz w:val="16"/>
      <w:szCs w:val="16"/>
    </w:rPr>
  </w:style>
  <w:style w:type="paragraph" w:styleId="CommentText">
    <w:name w:val="annotation text"/>
    <w:basedOn w:val="Normal"/>
    <w:link w:val="CommentTextChar"/>
    <w:uiPriority w:val="99"/>
    <w:semiHidden/>
    <w:unhideWhenUsed/>
    <w:rsid w:val="00716389"/>
    <w:pPr>
      <w:widowControl w:val="0"/>
      <w:suppressAutoHyphens/>
      <w:spacing w:after="0" w:line="240" w:lineRule="auto"/>
      <w:jc w:val="left"/>
    </w:pPr>
    <w:rPr>
      <w:rFonts w:ascii="Liberation Serif" w:eastAsia="SimSun" w:hAnsi="Liberation Serif" w:cs="Mangal"/>
      <w:color w:val="00000A"/>
      <w:sz w:val="20"/>
      <w:szCs w:val="18"/>
      <w:lang w:eastAsia="zh-CN" w:bidi="hi-IN"/>
    </w:rPr>
  </w:style>
  <w:style w:type="character" w:customStyle="1" w:styleId="CommentTextChar">
    <w:name w:val="Comment Text Char"/>
    <w:basedOn w:val="DefaultParagraphFont"/>
    <w:link w:val="CommentText"/>
    <w:uiPriority w:val="99"/>
    <w:semiHidden/>
    <w:rsid w:val="00716389"/>
    <w:rPr>
      <w:rFonts w:ascii="Liberation Serif" w:eastAsia="SimSun" w:hAnsi="Liberation Serif" w:cs="Mangal"/>
      <w:color w:val="00000A"/>
      <w:sz w:val="20"/>
      <w:szCs w:val="18"/>
      <w:lang w:val="de-DE" w:eastAsia="zh-CN" w:bidi="hi-IN"/>
    </w:rPr>
  </w:style>
  <w:style w:type="paragraph" w:styleId="CommentSubject">
    <w:name w:val="annotation subject"/>
    <w:basedOn w:val="CommentText"/>
    <w:next w:val="CommentText"/>
    <w:link w:val="CommentSubjectChar"/>
    <w:uiPriority w:val="99"/>
    <w:semiHidden/>
    <w:unhideWhenUsed/>
    <w:rsid w:val="00716389"/>
    <w:rPr>
      <w:b/>
      <w:bCs/>
    </w:rPr>
  </w:style>
  <w:style w:type="character" w:customStyle="1" w:styleId="CommentSubjectChar">
    <w:name w:val="Comment Subject Char"/>
    <w:basedOn w:val="CommentTextChar"/>
    <w:link w:val="CommentSubject"/>
    <w:uiPriority w:val="99"/>
    <w:semiHidden/>
    <w:rsid w:val="00716389"/>
    <w:rPr>
      <w:rFonts w:ascii="Liberation Serif" w:eastAsia="SimSun" w:hAnsi="Liberation Serif" w:cs="Mangal"/>
      <w:b/>
      <w:bCs/>
      <w:color w:val="00000A"/>
      <w:sz w:val="20"/>
      <w:szCs w:val="18"/>
      <w:lang w:val="de-DE" w:eastAsia="zh-CN" w:bidi="hi-IN"/>
    </w:rPr>
  </w:style>
  <w:style w:type="character" w:customStyle="1" w:styleId="IntenseQuoteChar">
    <w:name w:val="Intense Quote Char"/>
    <w:basedOn w:val="DefaultParagraphFont"/>
    <w:link w:val="IntenseQuote"/>
    <w:uiPriority w:val="30"/>
    <w:rsid w:val="00CF6C7C"/>
    <w:rPr>
      <w:rFonts w:ascii="Times New Roman" w:hAnsi="Times New Roman"/>
      <w:bCs/>
      <w:iCs/>
      <w:color w:val="000000"/>
      <w:sz w:val="24"/>
    </w:rPr>
  </w:style>
  <w:style w:type="paragraph" w:styleId="IntenseQuote">
    <w:name w:val="Intense Quote"/>
    <w:basedOn w:val="Normal"/>
    <w:next w:val="Normal"/>
    <w:link w:val="IntenseQuoteChar"/>
    <w:uiPriority w:val="30"/>
    <w:qFormat/>
    <w:rsid w:val="00CF6C7C"/>
    <w:pPr>
      <w:suppressAutoHyphens/>
      <w:spacing w:before="200" w:after="280" w:line="240" w:lineRule="auto"/>
      <w:ind w:left="720" w:right="936"/>
      <w:jc w:val="left"/>
    </w:pPr>
    <w:rPr>
      <w:bCs/>
      <w:iCs/>
      <w:color w:val="000000"/>
      <w:lang w:val="de-AT"/>
    </w:rPr>
  </w:style>
  <w:style w:type="character" w:customStyle="1" w:styleId="IntenseQuoteChar1">
    <w:name w:val="Intense Quote Char1"/>
    <w:basedOn w:val="DefaultParagraphFont"/>
    <w:uiPriority w:val="30"/>
    <w:rsid w:val="00CF6C7C"/>
    <w:rPr>
      <w:rFonts w:ascii="Times New Roman" w:hAnsi="Times New Roman"/>
      <w:i/>
      <w:iCs/>
      <w:color w:val="5B9BD5" w:themeColor="accent1"/>
      <w:sz w:val="24"/>
      <w:lang w:val="de-DE"/>
    </w:rPr>
  </w:style>
  <w:style w:type="character" w:customStyle="1" w:styleId="QuoteChar">
    <w:name w:val="Quote Char"/>
    <w:basedOn w:val="DefaultParagraphFont"/>
    <w:link w:val="Quote"/>
    <w:uiPriority w:val="29"/>
    <w:rsid w:val="00CF6C7C"/>
    <w:rPr>
      <w:rFonts w:ascii="Times New Roman" w:hAnsi="Times New Roman"/>
      <w:i/>
      <w:iCs/>
      <w:color w:val="000000"/>
      <w:sz w:val="24"/>
    </w:rPr>
  </w:style>
  <w:style w:type="paragraph" w:styleId="Quote">
    <w:name w:val="Quote"/>
    <w:basedOn w:val="Normal"/>
    <w:next w:val="Normal"/>
    <w:link w:val="QuoteChar"/>
    <w:uiPriority w:val="29"/>
    <w:qFormat/>
    <w:rsid w:val="00CF6C7C"/>
    <w:pPr>
      <w:suppressAutoHyphens/>
      <w:spacing w:after="0" w:line="480" w:lineRule="auto"/>
      <w:jc w:val="left"/>
    </w:pPr>
    <w:rPr>
      <w:i/>
      <w:iCs/>
      <w:color w:val="000000"/>
      <w:lang w:val="de-AT"/>
    </w:rPr>
  </w:style>
  <w:style w:type="character" w:customStyle="1" w:styleId="QuoteChar1">
    <w:name w:val="Quote Char1"/>
    <w:basedOn w:val="DefaultParagraphFont"/>
    <w:uiPriority w:val="29"/>
    <w:rsid w:val="00CF6C7C"/>
    <w:rPr>
      <w:rFonts w:ascii="Times New Roman" w:hAnsi="Times New Roman"/>
      <w:i/>
      <w:iCs/>
      <w:color w:val="404040" w:themeColor="text1" w:themeTint="BF"/>
      <w:sz w:val="24"/>
      <w:lang w:val="de-DE"/>
    </w:rPr>
  </w:style>
  <w:style w:type="character" w:customStyle="1" w:styleId="FootnoteTextChar1">
    <w:name w:val="Footnote Text Char1"/>
    <w:basedOn w:val="DefaultParagraphFont"/>
    <w:uiPriority w:val="99"/>
    <w:semiHidden/>
    <w:rsid w:val="00CF6C7C"/>
    <w:rPr>
      <w:rFonts w:ascii="Times New Roman" w:eastAsia="WenQuanYi Zen Hei Sharp" w:hAnsi="Times New Roman" w:cs="Times New Roman"/>
      <w:color w:val="00000A"/>
      <w:sz w:val="20"/>
      <w:szCs w:val="20"/>
      <w:lang w:eastAsia="en-US"/>
    </w:rPr>
  </w:style>
  <w:style w:type="character" w:customStyle="1" w:styleId="EndnoteTextChar1">
    <w:name w:val="Endnote Text Char1"/>
    <w:basedOn w:val="DefaultParagraphFont"/>
    <w:uiPriority w:val="99"/>
    <w:semiHidden/>
    <w:rsid w:val="00CF6C7C"/>
    <w:rPr>
      <w:rFonts w:ascii="Times New Roman" w:eastAsia="WenQuanYi Zen Hei Sharp" w:hAnsi="Times New Roman" w:cs="Times New Roman"/>
      <w:color w:val="00000A"/>
      <w:sz w:val="20"/>
      <w:szCs w:val="20"/>
      <w:lang w:eastAsia="en-US"/>
    </w:rPr>
  </w:style>
  <w:style w:type="character" w:customStyle="1" w:styleId="BalloonTextChar1">
    <w:name w:val="Balloon Text Char1"/>
    <w:basedOn w:val="DefaultParagraphFont"/>
    <w:uiPriority w:val="99"/>
    <w:semiHidden/>
    <w:rsid w:val="00CF6C7C"/>
    <w:rPr>
      <w:rFonts w:ascii="Tahoma" w:eastAsia="WenQuanYi Zen Hei Sharp" w:hAnsi="Tahoma" w:cs="Tahoma"/>
      <w:color w:val="00000A"/>
      <w:sz w:val="16"/>
      <w:szCs w:val="16"/>
      <w:lang w:eastAsia="en-US"/>
    </w:rPr>
  </w:style>
  <w:style w:type="character" w:customStyle="1" w:styleId="HeaderChar1">
    <w:name w:val="Header Char1"/>
    <w:basedOn w:val="DefaultParagraphFont"/>
    <w:uiPriority w:val="99"/>
    <w:semiHidden/>
    <w:rsid w:val="00CF6C7C"/>
    <w:rPr>
      <w:rFonts w:ascii="Times New Roman" w:eastAsia="WenQuanYi Zen Hei Sharp" w:hAnsi="Times New Roman" w:cs="Times New Roman"/>
      <w:color w:val="00000A"/>
      <w:sz w:val="24"/>
      <w:lang w:eastAsia="en-US"/>
    </w:rPr>
  </w:style>
  <w:style w:type="character" w:customStyle="1" w:styleId="FooterChar1">
    <w:name w:val="Footer Char1"/>
    <w:basedOn w:val="DefaultParagraphFont"/>
    <w:uiPriority w:val="99"/>
    <w:semiHidden/>
    <w:rsid w:val="00CF6C7C"/>
    <w:rPr>
      <w:rFonts w:ascii="Times New Roman" w:eastAsia="WenQuanYi Zen Hei Sharp" w:hAnsi="Times New Roman" w:cs="Times New Roman"/>
      <w:color w:val="00000A"/>
      <w:sz w:val="24"/>
      <w:lang w:eastAsia="en-US"/>
    </w:rPr>
  </w:style>
  <w:style w:type="character" w:customStyle="1" w:styleId="FootnoteAnchor">
    <w:name w:val="Footnote Anchor"/>
    <w:rsid w:val="00CF6C7C"/>
    <w:rPr>
      <w:vertAlign w:val="superscript"/>
    </w:rPr>
  </w:style>
  <w:style w:type="character" w:customStyle="1" w:styleId="definition">
    <w:name w:val="definition"/>
    <w:basedOn w:val="DefaultParagraphFont"/>
    <w:rsid w:val="00CF6C7C"/>
  </w:style>
  <w:style w:type="paragraph" w:customStyle="1" w:styleId="Footnote">
    <w:name w:val="Footnote"/>
    <w:basedOn w:val="Normal"/>
    <w:rsid w:val="00CF6C7C"/>
    <w:pPr>
      <w:suppressAutoHyphens/>
      <w:spacing w:after="0" w:line="480" w:lineRule="auto"/>
      <w:jc w:val="left"/>
    </w:pPr>
    <w:rPr>
      <w:rFonts w:eastAsia="WenQuanYi Zen Hei Sharp" w:cs="Times New Roman"/>
      <w:color w:val="00000A"/>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2D180-F710-43C6-B7C3-47B0877F2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6099</Words>
  <Characters>34769</Characters>
  <Application>Microsoft Office Word</Application>
  <DocSecurity>0</DocSecurity>
  <Lines>289</Lines>
  <Paragraphs>81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Hewlett-Packard Company</Company>
  <LinksUpToDate>false</LinksUpToDate>
  <CharactersWithSpaces>40787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dc:creator>
  <cp:keywords/>
  <dc:description/>
  <cp:lastModifiedBy>Joe Twist</cp:lastModifiedBy>
  <cp:revision>2</cp:revision>
  <dcterms:created xsi:type="dcterms:W3CDTF">2018-01-18T08:55:00Z</dcterms:created>
  <dcterms:modified xsi:type="dcterms:W3CDTF">2018-01-18T08:55:00Z</dcterms:modified>
</cp:coreProperties>
</file>