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1DB31" w14:textId="4D12559D" w:rsidR="009E674A" w:rsidRPr="000E5E65" w:rsidRDefault="009E674A" w:rsidP="00E94182">
      <w:pPr>
        <w:pStyle w:val="Title"/>
        <w:jc w:val="center"/>
        <w:rPr>
          <w:sz w:val="40"/>
          <w:szCs w:val="40"/>
        </w:rPr>
      </w:pPr>
      <w:bookmarkStart w:id="0" w:name="_Hlk113627623"/>
      <w:bookmarkEnd w:id="0"/>
      <w:r w:rsidRPr="000E5E65">
        <w:rPr>
          <w:sz w:val="40"/>
          <w:szCs w:val="40"/>
        </w:rPr>
        <w:t>Assessment of</w:t>
      </w:r>
      <w:r w:rsidR="006D3B47" w:rsidRPr="000E5E65">
        <w:rPr>
          <w:sz w:val="40"/>
          <w:szCs w:val="40"/>
        </w:rPr>
        <w:t xml:space="preserve"> Phase</w:t>
      </w:r>
      <w:r w:rsidRPr="000E5E65">
        <w:rPr>
          <w:sz w:val="40"/>
          <w:szCs w:val="40"/>
        </w:rPr>
        <w:t xml:space="preserve"> Evolution in Titanium-Niobium based Alloys During </w:t>
      </w:r>
      <w:r w:rsidR="00BB71C4" w:rsidRPr="000E5E65">
        <w:rPr>
          <w:sz w:val="40"/>
          <w:szCs w:val="40"/>
        </w:rPr>
        <w:t>R</w:t>
      </w:r>
      <w:r w:rsidR="007144D2" w:rsidRPr="000E5E65">
        <w:rPr>
          <w:sz w:val="40"/>
          <w:szCs w:val="40"/>
        </w:rPr>
        <w:t>apid-</w:t>
      </w:r>
      <w:r w:rsidR="00BB71C4" w:rsidRPr="000E5E65">
        <w:rPr>
          <w:sz w:val="40"/>
          <w:szCs w:val="40"/>
        </w:rPr>
        <w:t>S</w:t>
      </w:r>
      <w:r w:rsidR="007144D2" w:rsidRPr="000E5E65">
        <w:rPr>
          <w:sz w:val="40"/>
          <w:szCs w:val="40"/>
        </w:rPr>
        <w:t xml:space="preserve">olidification </w:t>
      </w:r>
      <w:r w:rsidR="00AF674E" w:rsidRPr="000E5E65">
        <w:rPr>
          <w:sz w:val="40"/>
          <w:szCs w:val="40"/>
        </w:rPr>
        <w:t>Casting</w:t>
      </w:r>
    </w:p>
    <w:p w14:paraId="00B9B213" w14:textId="2A913AB1" w:rsidR="009E674A" w:rsidRDefault="009E674A" w:rsidP="00DE02CB"/>
    <w:p w14:paraId="2085675A" w14:textId="41AE3799" w:rsidR="00337D38" w:rsidRDefault="00337D38" w:rsidP="00BB71C4">
      <w:pPr>
        <w:jc w:val="left"/>
      </w:pPr>
      <w:r>
        <w:t>T</w:t>
      </w:r>
      <w:r w:rsidR="00C1649B">
        <w:t>heo</w:t>
      </w:r>
      <w:r>
        <w:t xml:space="preserve"> Mossop</w:t>
      </w:r>
      <w:r w:rsidR="00001893">
        <w:rPr>
          <w:vertAlign w:val="superscript"/>
        </w:rPr>
        <w:t>1</w:t>
      </w:r>
      <w:r w:rsidR="00E94182">
        <w:rPr>
          <w:vertAlign w:val="superscript"/>
        </w:rPr>
        <w:t>, 3</w:t>
      </w:r>
      <w:r>
        <w:t>, D</w:t>
      </w:r>
      <w:r w:rsidR="00C1649B">
        <w:t>avid</w:t>
      </w:r>
      <w:r>
        <w:t xml:space="preserve"> Heard</w:t>
      </w:r>
      <w:r w:rsidR="00E94182">
        <w:t xml:space="preserve"> </w:t>
      </w:r>
      <w:r w:rsidR="006D3B47">
        <w:rPr>
          <w:vertAlign w:val="superscript"/>
        </w:rPr>
        <w:t>2</w:t>
      </w:r>
      <w:r w:rsidR="006D3B47">
        <w:t xml:space="preserve"> , </w:t>
      </w:r>
      <w:proofErr w:type="spellStart"/>
      <w:r w:rsidR="006D3B47">
        <w:t>M</w:t>
      </w:r>
      <w:r w:rsidR="00C1649B">
        <w:t>ert</w:t>
      </w:r>
      <w:proofErr w:type="spellEnd"/>
      <w:r w:rsidR="006D3B47">
        <w:t xml:space="preserve"> </w:t>
      </w:r>
      <w:proofErr w:type="spellStart"/>
      <w:r w:rsidR="006D3B47">
        <w:t>Celikin</w:t>
      </w:r>
      <w:proofErr w:type="spellEnd"/>
      <w:r w:rsidR="00E94182">
        <w:t xml:space="preserve"> </w:t>
      </w:r>
      <w:r w:rsidR="00E94182" w:rsidRPr="00E94182">
        <w:rPr>
          <w:vertAlign w:val="superscript"/>
        </w:rPr>
        <w:t>1,</w:t>
      </w:r>
      <w:r w:rsidR="00B95909">
        <w:rPr>
          <w:vertAlign w:val="superscript"/>
        </w:rPr>
        <w:t xml:space="preserve"> </w:t>
      </w:r>
      <w:r w:rsidR="006D3B47">
        <w:rPr>
          <w:vertAlign w:val="superscript"/>
        </w:rPr>
        <w:t>3</w:t>
      </w:r>
    </w:p>
    <w:p w14:paraId="74C4E7F3" w14:textId="7DDECCAE" w:rsidR="00001893" w:rsidRPr="00E94182" w:rsidRDefault="00001893" w:rsidP="00BB71C4">
      <w:pPr>
        <w:jc w:val="left"/>
        <w:rPr>
          <w:i/>
          <w:iCs/>
        </w:rPr>
      </w:pPr>
      <w:r w:rsidRPr="00E94182">
        <w:rPr>
          <w:i/>
          <w:iCs/>
          <w:vertAlign w:val="superscript"/>
        </w:rPr>
        <w:t>1</w:t>
      </w:r>
      <w:r w:rsidRPr="00E94182">
        <w:rPr>
          <w:i/>
          <w:iCs/>
        </w:rPr>
        <w:t xml:space="preserve">School of Mechanical and Materials </w:t>
      </w:r>
      <w:r w:rsidR="00E94182">
        <w:rPr>
          <w:i/>
          <w:iCs/>
        </w:rPr>
        <w:t>Engineering</w:t>
      </w:r>
      <w:r w:rsidRPr="00E94182">
        <w:rPr>
          <w:i/>
          <w:iCs/>
        </w:rPr>
        <w:t xml:space="preserve">, University College Dublin, </w:t>
      </w:r>
      <w:r w:rsidR="00E94182">
        <w:rPr>
          <w:i/>
          <w:iCs/>
        </w:rPr>
        <w:t>Ireland</w:t>
      </w:r>
    </w:p>
    <w:p w14:paraId="2D9122DC" w14:textId="4949C979" w:rsidR="00001893" w:rsidRPr="00E94182" w:rsidRDefault="006D3B47" w:rsidP="00BB71C4">
      <w:pPr>
        <w:jc w:val="left"/>
        <w:rPr>
          <w:i/>
          <w:iCs/>
        </w:rPr>
      </w:pPr>
      <w:r w:rsidRPr="00E94182">
        <w:rPr>
          <w:i/>
          <w:iCs/>
          <w:vertAlign w:val="superscript"/>
        </w:rPr>
        <w:t>2</w:t>
      </w:r>
      <w:r w:rsidR="00001893" w:rsidRPr="00E94182">
        <w:rPr>
          <w:i/>
          <w:iCs/>
        </w:rPr>
        <w:t xml:space="preserve">Stryker </w:t>
      </w:r>
      <w:r w:rsidR="00111A0A">
        <w:rPr>
          <w:i/>
          <w:iCs/>
        </w:rPr>
        <w:t>Advanced Technology &amp; Research, United States</w:t>
      </w:r>
    </w:p>
    <w:p w14:paraId="209A1B64" w14:textId="44151202" w:rsidR="00E94182" w:rsidRPr="00E94182" w:rsidRDefault="00E94182" w:rsidP="00E94182">
      <w:pPr>
        <w:jc w:val="left"/>
        <w:rPr>
          <w:i/>
          <w:iCs/>
        </w:rPr>
      </w:pPr>
      <w:r w:rsidRPr="00E94182">
        <w:rPr>
          <w:i/>
          <w:iCs/>
          <w:vertAlign w:val="superscript"/>
        </w:rPr>
        <w:t>3</w:t>
      </w:r>
      <w:r w:rsidRPr="00E94182">
        <w:rPr>
          <w:i/>
          <w:iCs/>
        </w:rPr>
        <w:t>Materials Design and Processing Laboratory, University College Dublin, Ireland</w:t>
      </w:r>
    </w:p>
    <w:p w14:paraId="5D2D5583" w14:textId="77777777" w:rsidR="001E2DD8" w:rsidRDefault="001E2DD8" w:rsidP="00BB71C4">
      <w:pPr>
        <w:jc w:val="left"/>
        <w:rPr>
          <w:i/>
          <w:iCs/>
        </w:rPr>
      </w:pPr>
    </w:p>
    <w:p w14:paraId="2C986F3F" w14:textId="3649CCBC" w:rsidR="00E94182" w:rsidRPr="00E94182" w:rsidRDefault="00E94182" w:rsidP="00BB71C4">
      <w:pPr>
        <w:jc w:val="left"/>
        <w:rPr>
          <w:i/>
          <w:iCs/>
        </w:rPr>
      </w:pPr>
      <w:r w:rsidRPr="00E94182">
        <w:rPr>
          <w:i/>
          <w:iCs/>
        </w:rPr>
        <w:t xml:space="preserve">Corresponding author: </w:t>
      </w:r>
      <w:r w:rsidRPr="002165F6">
        <w:rPr>
          <w:i/>
          <w:iCs/>
        </w:rPr>
        <w:t>theo.mossop@ucdconnect.ie</w:t>
      </w:r>
    </w:p>
    <w:p w14:paraId="0A0048F9" w14:textId="77777777" w:rsidR="00E94182" w:rsidRDefault="00E94182" w:rsidP="00BB71C4">
      <w:pPr>
        <w:jc w:val="left"/>
      </w:pPr>
    </w:p>
    <w:p w14:paraId="6F130B18" w14:textId="66111F12" w:rsidR="00337D38" w:rsidRDefault="006D3B47" w:rsidP="000E5E65">
      <w:r w:rsidRPr="00111A0A">
        <w:rPr>
          <w:b/>
          <w:bCs/>
        </w:rPr>
        <w:t>Keywords:</w:t>
      </w:r>
      <w:r>
        <w:t xml:space="preserve"> </w:t>
      </w:r>
      <w:r w:rsidR="00111A0A">
        <w:t xml:space="preserve">Titanium </w:t>
      </w:r>
      <w:r>
        <w:t>Alloy</w:t>
      </w:r>
      <w:r w:rsidR="00111A0A">
        <w:t>s,</w:t>
      </w:r>
      <w:r>
        <w:t xml:space="preserve"> </w:t>
      </w:r>
      <w:r w:rsidR="00111A0A">
        <w:t>R</w:t>
      </w:r>
      <w:r>
        <w:t xml:space="preserve">apid </w:t>
      </w:r>
      <w:r w:rsidR="00111A0A">
        <w:t>S</w:t>
      </w:r>
      <w:r>
        <w:t>olidification,</w:t>
      </w:r>
      <w:r w:rsidR="00111A0A">
        <w:t xml:space="preserve"> Phase Transformation, Beta-</w:t>
      </w:r>
      <w:proofErr w:type="spellStart"/>
      <w:r w:rsidR="00111A0A">
        <w:t>Ti</w:t>
      </w:r>
      <w:proofErr w:type="spellEnd"/>
      <w:r w:rsidR="00111A0A">
        <w:t xml:space="preserve"> alloys</w:t>
      </w:r>
      <w:r w:rsidR="004E27BA">
        <w:t>, Niobium</w:t>
      </w:r>
      <w:r w:rsidR="000E5E65">
        <w:t>, X-ray Diffraction</w:t>
      </w:r>
    </w:p>
    <w:p w14:paraId="3EC8FF73" w14:textId="44CF9E39" w:rsidR="009D0C6E" w:rsidRDefault="009D0C6E" w:rsidP="009D0C6E">
      <w:pPr>
        <w:pStyle w:val="Heading1"/>
      </w:pPr>
      <w:r>
        <w:t>Abstract</w:t>
      </w:r>
    </w:p>
    <w:p w14:paraId="430DFE4F" w14:textId="54A95A08" w:rsidR="009E674A" w:rsidRPr="00337D38" w:rsidRDefault="00FE3B90" w:rsidP="00AA6EB5">
      <w:pPr>
        <w:spacing w:line="360" w:lineRule="auto"/>
      </w:pPr>
      <w:r w:rsidRPr="00337D38">
        <w:t>The effect of varying cooling rates is studied on the</w:t>
      </w:r>
      <w:r w:rsidR="009E674A" w:rsidRPr="00337D38">
        <w:t xml:space="preserve"> </w:t>
      </w:r>
      <w:r w:rsidRPr="00337D38">
        <w:t>microstructural evolution</w:t>
      </w:r>
      <w:r w:rsidR="009E674A" w:rsidRPr="00337D38">
        <w:t xml:space="preserve"> </w:t>
      </w:r>
      <w:r w:rsidRPr="00337D38">
        <w:t>of Titanium-Niobium (</w:t>
      </w:r>
      <w:proofErr w:type="spellStart"/>
      <w:r w:rsidRPr="00337D38">
        <w:t>Ti</w:t>
      </w:r>
      <w:proofErr w:type="spellEnd"/>
      <w:r w:rsidRPr="00337D38">
        <w:t>-Nb) based alloys with Tantalum (Ta) additions. A</w:t>
      </w:r>
      <w:r w:rsidR="009E674A" w:rsidRPr="00337D38">
        <w:t xml:space="preserve"> </w:t>
      </w:r>
      <w:r w:rsidRPr="00337D38">
        <w:t>combined simulation and experimental approach is used to investigate the</w:t>
      </w:r>
      <w:r w:rsidR="009E674A" w:rsidRPr="00337D38">
        <w:t xml:space="preserve"> </w:t>
      </w:r>
      <w:r w:rsidRPr="00337D38">
        <w:t xml:space="preserve">predictability of differences in microstructural evolution </w:t>
      </w:r>
      <w:r w:rsidR="000E5E65">
        <w:t>during</w:t>
      </w:r>
      <w:r w:rsidRPr="00337D38">
        <w:t xml:space="preserve"> rapid</w:t>
      </w:r>
      <w:r w:rsidR="007144D2">
        <w:t>-solidification</w:t>
      </w:r>
      <w:r w:rsidR="009E674A" w:rsidRPr="00337D38">
        <w:t xml:space="preserve"> </w:t>
      </w:r>
      <w:r w:rsidRPr="00337D38">
        <w:t xml:space="preserve">casting. Rods of </w:t>
      </w:r>
      <w:r w:rsidR="00DF17E3">
        <w:t xml:space="preserve">binary </w:t>
      </w:r>
      <w:r w:rsidRPr="00337D38">
        <w:t>Ti-25Nb and</w:t>
      </w:r>
      <w:r w:rsidR="009E674A" w:rsidRPr="00337D38">
        <w:t xml:space="preserve"> </w:t>
      </w:r>
      <w:r w:rsidR="00DF17E3">
        <w:t xml:space="preserve">ternary </w:t>
      </w:r>
      <w:r w:rsidRPr="00337D38">
        <w:t>Ti-20Nb-10Ta (</w:t>
      </w:r>
      <w:proofErr w:type="spellStart"/>
      <w:r w:rsidRPr="00337D38">
        <w:t>wt</w:t>
      </w:r>
      <w:proofErr w:type="spellEnd"/>
      <w:r w:rsidRPr="00337D38">
        <w:t xml:space="preserve">% and hereafter) </w:t>
      </w:r>
      <w:r w:rsidR="00DF17E3">
        <w:t xml:space="preserve">alloys </w:t>
      </w:r>
      <w:r w:rsidRPr="00337D38">
        <w:t xml:space="preserve">were </w:t>
      </w:r>
      <w:r w:rsidR="000E5E65">
        <w:t>synthesized</w:t>
      </w:r>
      <w:r w:rsidRPr="00337D38">
        <w:t xml:space="preserve"> in diameters </w:t>
      </w:r>
      <w:r w:rsidR="00277030">
        <w:t>of 3, 5</w:t>
      </w:r>
      <w:r w:rsidR="00DF17E3">
        <w:t xml:space="preserve"> and</w:t>
      </w:r>
      <w:r w:rsidR="00277030">
        <w:t xml:space="preserve"> 10</w:t>
      </w:r>
      <w:r w:rsidR="00BB71C4">
        <w:t xml:space="preserve"> </w:t>
      </w:r>
      <w:r w:rsidR="00277030">
        <w:t xml:space="preserve">mm </w:t>
      </w:r>
      <w:r w:rsidRPr="00337D38">
        <w:t>using suction casting into copper moulds. Finite element (FE) and</w:t>
      </w:r>
      <w:r w:rsidR="009E674A" w:rsidRPr="00337D38">
        <w:t xml:space="preserve"> </w:t>
      </w:r>
      <w:r w:rsidRPr="00337D38">
        <w:t>thermodynamic modelling was used to calculate the cooling rates and</w:t>
      </w:r>
      <w:r w:rsidR="009E674A" w:rsidRPr="00337D38">
        <w:t xml:space="preserve"> </w:t>
      </w:r>
      <w:r w:rsidRPr="00337D38">
        <w:t xml:space="preserve">temperature gradients of the alloys. The microstructural and mechanical differences </w:t>
      </w:r>
      <w:r w:rsidR="003B2961">
        <w:t>were</w:t>
      </w:r>
      <w:r w:rsidRPr="00337D38">
        <w:t xml:space="preserve"> determined via</w:t>
      </w:r>
      <w:r w:rsidR="00BB71C4" w:rsidRPr="00337D38">
        <w:t xml:space="preserve"> XRD</w:t>
      </w:r>
      <w:r w:rsidR="00BB71C4">
        <w:t>,</w:t>
      </w:r>
      <w:r w:rsidRPr="00337D38">
        <w:t xml:space="preserve"> SEM/EDS, and</w:t>
      </w:r>
      <w:r w:rsidR="009E674A" w:rsidRPr="00337D38">
        <w:t xml:space="preserve"> </w:t>
      </w:r>
      <w:r w:rsidRPr="00337D38">
        <w:t>mechanical testing.</w:t>
      </w:r>
    </w:p>
    <w:p w14:paraId="4F938B4D" w14:textId="57474611" w:rsidR="00435CA7" w:rsidRPr="00674B42" w:rsidRDefault="009E674A" w:rsidP="00674B42">
      <w:pPr>
        <w:pStyle w:val="Heading1"/>
      </w:pPr>
      <w:r w:rsidRPr="00674B42">
        <w:t>Introduction</w:t>
      </w:r>
    </w:p>
    <w:p w14:paraId="38235EF3" w14:textId="5208B4AC" w:rsidR="00E43A9F" w:rsidRDefault="00936AD2" w:rsidP="00AA6EB5">
      <w:pPr>
        <w:spacing w:line="360" w:lineRule="auto"/>
      </w:pPr>
      <w:r w:rsidRPr="00936AD2">
        <w:t>Titanium (</w:t>
      </w:r>
      <w:proofErr w:type="spellStart"/>
      <w:r w:rsidRPr="00936AD2">
        <w:t>Ti</w:t>
      </w:r>
      <w:proofErr w:type="spellEnd"/>
      <w:r w:rsidRPr="00936AD2">
        <w:t>) alloys are used in biomedical applications due to their high specific strength, good biocompatibility and excellent fatigue resistance</w:t>
      </w:r>
      <w:r w:rsidR="00B62EF1">
        <w:t xml:space="preserve"> [1]</w:t>
      </w:r>
      <w:r w:rsidRPr="00936AD2">
        <w:t xml:space="preserve">. The most common biomedical </w:t>
      </w:r>
      <w:proofErr w:type="spellStart"/>
      <w:r w:rsidRPr="00936AD2">
        <w:t>Ti</w:t>
      </w:r>
      <w:proofErr w:type="spellEnd"/>
      <w:r w:rsidRPr="00936AD2">
        <w:t xml:space="preserve"> alloy, Ti-6Al-4V (Ti64), has a relatively high Young’s Modulus of 115 </w:t>
      </w:r>
      <w:proofErr w:type="spellStart"/>
      <w:r w:rsidRPr="00936AD2">
        <w:t>GPa</w:t>
      </w:r>
      <w:proofErr w:type="spellEnd"/>
      <w:r w:rsidRPr="00936AD2">
        <w:t xml:space="preserve"> in comparison to that of cortical bone (up to 30 </w:t>
      </w:r>
      <w:proofErr w:type="spellStart"/>
      <w:r w:rsidRPr="00936AD2">
        <w:t>GPa</w:t>
      </w:r>
      <w:proofErr w:type="spellEnd"/>
      <w:r w:rsidRPr="00936AD2">
        <w:t xml:space="preserve">) </w:t>
      </w:r>
      <w:r w:rsidR="00A3605B" w:rsidRPr="00A3605B">
        <w:rPr>
          <w:color w:val="000000"/>
        </w:rPr>
        <w:t>[</w:t>
      </w:r>
      <w:r w:rsidR="00B62EF1">
        <w:rPr>
          <w:color w:val="000000"/>
        </w:rPr>
        <w:t>2</w:t>
      </w:r>
      <w:r w:rsidR="00A3605B" w:rsidRPr="00A3605B">
        <w:rPr>
          <w:color w:val="000000"/>
        </w:rPr>
        <w:t>]</w:t>
      </w:r>
      <w:r w:rsidRPr="00936AD2">
        <w:t>. This stiffness mismatch can result in a phenomenon known as stress-shielding, where the bone surrounding an implant loses bone-density, eventually resulting in implant failure. In addition to this, Ti64 also contains significant amounts of aluminium</w:t>
      </w:r>
      <w:r w:rsidR="00E43A9F">
        <w:t xml:space="preserve"> (Al)</w:t>
      </w:r>
      <w:r w:rsidRPr="00936AD2">
        <w:t xml:space="preserve"> and vanadium</w:t>
      </w:r>
      <w:r w:rsidR="00E43A9F">
        <w:t xml:space="preserve"> (V)</w:t>
      </w:r>
      <w:r w:rsidRPr="00936AD2">
        <w:t xml:space="preserve"> which have been linked to cell toxicity and neurological disorders</w:t>
      </w:r>
      <w:r w:rsidR="00A3605B" w:rsidRPr="00A3605B">
        <w:rPr>
          <w:color w:val="000000"/>
        </w:rPr>
        <w:t>[</w:t>
      </w:r>
      <w:r w:rsidR="00B62EF1">
        <w:rPr>
          <w:color w:val="000000"/>
        </w:rPr>
        <w:t>3</w:t>
      </w:r>
      <w:r w:rsidR="00A3605B" w:rsidRPr="00A3605B">
        <w:rPr>
          <w:color w:val="000000"/>
        </w:rPr>
        <w:t>]</w:t>
      </w:r>
      <w:r w:rsidRPr="00936AD2">
        <w:t xml:space="preserve">. </w:t>
      </w:r>
      <w:r w:rsidR="00E43A9F">
        <w:t>Therefore</w:t>
      </w:r>
      <w:r w:rsidRPr="00CE65A6">
        <w:t>, there is significant impetus to find superior biomedical alloys, both from a mechanical and biocompatibility perspective</w:t>
      </w:r>
      <w:r w:rsidR="00743239">
        <w:t>;</w:t>
      </w:r>
      <w:r w:rsidR="00E43A9F" w:rsidRPr="00E43A9F">
        <w:t xml:space="preserve"> </w:t>
      </w:r>
      <w:r w:rsidR="00E43A9F" w:rsidRPr="00CE65A6">
        <w:t>β-</w:t>
      </w:r>
      <w:proofErr w:type="spellStart"/>
      <w:r w:rsidR="00E43A9F">
        <w:t>Ti</w:t>
      </w:r>
      <w:proofErr w:type="spellEnd"/>
      <w:r w:rsidR="00E43A9F" w:rsidRPr="00CE65A6">
        <w:t xml:space="preserve"> alloy</w:t>
      </w:r>
      <w:r w:rsidR="00E43A9F">
        <w:t>s</w:t>
      </w:r>
      <w:r w:rsidR="00E43A9F" w:rsidRPr="00CE65A6">
        <w:t xml:space="preserve"> </w:t>
      </w:r>
      <w:r w:rsidR="00E43A9F">
        <w:t xml:space="preserve">with their </w:t>
      </w:r>
      <w:r w:rsidR="00E43A9F" w:rsidRPr="00CE65A6">
        <w:t>composition space looks promising.</w:t>
      </w:r>
      <w:r w:rsidR="00E43A9F">
        <w:t xml:space="preserve"> </w:t>
      </w:r>
    </w:p>
    <w:p w14:paraId="449C071B" w14:textId="42AD5B6B" w:rsidR="00936AD2" w:rsidRDefault="00936AD2" w:rsidP="00AA6EB5">
      <w:pPr>
        <w:spacing w:line="360" w:lineRule="auto"/>
      </w:pPr>
      <w:r w:rsidRPr="00CE65A6">
        <w:t>β-phase with a body-</w:t>
      </w:r>
      <w:proofErr w:type="spellStart"/>
      <w:r w:rsidRPr="00CE65A6">
        <w:t>centered</w:t>
      </w:r>
      <w:proofErr w:type="spellEnd"/>
      <w:r w:rsidRPr="00CE65A6">
        <w:t xml:space="preserve"> cubic (BCC) crystal structure has the lowest Young’s modulus of all the allotropes, as low as 50 </w:t>
      </w:r>
      <w:proofErr w:type="spellStart"/>
      <w:r w:rsidRPr="00CE65A6">
        <w:t>GPa</w:t>
      </w:r>
      <w:proofErr w:type="spellEnd"/>
      <w:r w:rsidRPr="00CE65A6">
        <w:t>, and many alloying elements used in β-alloys are biocompatible – especially niobium</w:t>
      </w:r>
      <w:r w:rsidR="00743239">
        <w:t xml:space="preserve"> (Nb)</w:t>
      </w:r>
      <w:r w:rsidRPr="00CE65A6">
        <w:t>, tantalum</w:t>
      </w:r>
      <w:r w:rsidR="00743239">
        <w:t xml:space="preserve"> (Ta)</w:t>
      </w:r>
      <w:r w:rsidRPr="00CE65A6">
        <w:t xml:space="preserve"> and zirconium</w:t>
      </w:r>
      <w:r w:rsidR="00743239">
        <w:t xml:space="preserve"> (Zr)</w:t>
      </w:r>
      <w:r w:rsidRPr="00CE65A6">
        <w:t xml:space="preserve"> </w:t>
      </w:r>
      <w:r w:rsidR="00A3605B" w:rsidRPr="00A3605B">
        <w:rPr>
          <w:color w:val="000000"/>
        </w:rPr>
        <w:t>[</w:t>
      </w:r>
      <w:r w:rsidR="00B62EF1">
        <w:rPr>
          <w:color w:val="000000"/>
        </w:rPr>
        <w:t>4</w:t>
      </w:r>
      <w:r w:rsidR="00A3605B" w:rsidRPr="00A3605B">
        <w:rPr>
          <w:color w:val="000000"/>
        </w:rPr>
        <w:t>]</w:t>
      </w:r>
      <w:r w:rsidRPr="00CE65A6">
        <w:t>.</w:t>
      </w:r>
      <w:r w:rsidR="00FB53AF">
        <w:t xml:space="preserve"> In addition to this, b</w:t>
      </w:r>
      <w:r w:rsidR="00FB53AF" w:rsidRPr="00FB53AF">
        <w:t xml:space="preserve">inary </w:t>
      </w:r>
      <w:proofErr w:type="spellStart"/>
      <w:r w:rsidR="00FB53AF" w:rsidRPr="00FB53AF">
        <w:t>Ti</w:t>
      </w:r>
      <w:proofErr w:type="spellEnd"/>
      <w:r w:rsidR="00FB53AF" w:rsidRPr="00FB53AF">
        <w:t xml:space="preserve">-Nb alloys can exhibit very high UTS, up to 1100MPa, with elongations as high as 150% </w:t>
      </w:r>
      <w:r w:rsidR="00A3605B" w:rsidRPr="00A3605B">
        <w:rPr>
          <w:color w:val="000000"/>
        </w:rPr>
        <w:t>[</w:t>
      </w:r>
      <w:r w:rsidR="00B62EF1">
        <w:rPr>
          <w:color w:val="000000"/>
        </w:rPr>
        <w:t>5</w:t>
      </w:r>
      <w:r w:rsidR="00A3605B" w:rsidRPr="00A3605B">
        <w:rPr>
          <w:color w:val="000000"/>
        </w:rPr>
        <w:t>–</w:t>
      </w:r>
      <w:r w:rsidR="00B62EF1">
        <w:rPr>
          <w:color w:val="000000"/>
        </w:rPr>
        <w:t>7</w:t>
      </w:r>
      <w:r w:rsidR="00A3605B" w:rsidRPr="00A3605B">
        <w:rPr>
          <w:color w:val="000000"/>
        </w:rPr>
        <w:t>]</w:t>
      </w:r>
      <w:r w:rsidR="00FB53AF" w:rsidRPr="00FB53AF">
        <w:t xml:space="preserve">. This is important for biomedical implants where these properties are critical. Ternary and higher order compositions have been shown to increase </w:t>
      </w:r>
      <w:r w:rsidR="00743239">
        <w:t>mechanical performance</w:t>
      </w:r>
      <w:r w:rsidR="00FB53AF" w:rsidRPr="00FB53AF">
        <w:t xml:space="preserve"> </w:t>
      </w:r>
      <w:r w:rsidR="00743239">
        <w:t>even further</w:t>
      </w:r>
      <w:r w:rsidR="00FB53AF" w:rsidRPr="00FB53AF">
        <w:t xml:space="preserve"> </w:t>
      </w:r>
      <w:r w:rsidR="00A3605B" w:rsidRPr="00A3605B">
        <w:rPr>
          <w:color w:val="000000"/>
        </w:rPr>
        <w:t>[</w:t>
      </w:r>
      <w:r w:rsidR="00B62EF1">
        <w:rPr>
          <w:color w:val="000000"/>
        </w:rPr>
        <w:t>5, 8, 9</w:t>
      </w:r>
      <w:r w:rsidR="00A3605B" w:rsidRPr="00A3605B">
        <w:rPr>
          <w:color w:val="000000"/>
        </w:rPr>
        <w:t>]</w:t>
      </w:r>
      <w:r w:rsidR="00FB53AF" w:rsidRPr="00FB53AF">
        <w:t xml:space="preserve">. </w:t>
      </w:r>
      <w:r w:rsidR="00743239">
        <w:t>A</w:t>
      </w:r>
      <w:r w:rsidR="00FB53AF" w:rsidRPr="00FB53AF">
        <w:t>s there are many metastable phases that can coexist throughout the range of β-stabilised compositions</w:t>
      </w:r>
      <w:r w:rsidR="00743239">
        <w:t xml:space="preserve">, understanding the microstructural evolution with varying processing and post-processing conditions is critical </w:t>
      </w:r>
      <w:r w:rsidR="001C1A25">
        <w:t>for controlling mechanical properties</w:t>
      </w:r>
      <w:r w:rsidR="00743239">
        <w:t xml:space="preserve"> </w:t>
      </w:r>
      <w:r w:rsidR="00A3605B" w:rsidRPr="00A3605B">
        <w:rPr>
          <w:color w:val="000000"/>
        </w:rPr>
        <w:t>[</w:t>
      </w:r>
      <w:r w:rsidR="00B62EF1">
        <w:rPr>
          <w:color w:val="000000"/>
        </w:rPr>
        <w:t xml:space="preserve">10, </w:t>
      </w:r>
      <w:r w:rsidR="00A3605B" w:rsidRPr="00A3605B">
        <w:rPr>
          <w:color w:val="000000"/>
        </w:rPr>
        <w:t>1</w:t>
      </w:r>
      <w:r w:rsidR="00B62EF1">
        <w:rPr>
          <w:color w:val="000000"/>
        </w:rPr>
        <w:t>1</w:t>
      </w:r>
      <w:r w:rsidR="00A3605B" w:rsidRPr="00A3605B">
        <w:rPr>
          <w:color w:val="000000"/>
        </w:rPr>
        <w:t>]</w:t>
      </w:r>
      <w:r w:rsidR="00A3605B">
        <w:t>.</w:t>
      </w:r>
      <w:r w:rsidR="00FB53AF" w:rsidRPr="00FB53AF">
        <w:t xml:space="preserve">  </w:t>
      </w:r>
    </w:p>
    <w:p w14:paraId="1ACC3A7F" w14:textId="479FA29C" w:rsidR="00B21F3C" w:rsidRPr="00936AD2" w:rsidRDefault="00AA6EB5" w:rsidP="008900F0">
      <w:pPr>
        <w:spacing w:line="360" w:lineRule="auto"/>
      </w:pPr>
      <w:r>
        <w:lastRenderedPageBreak/>
        <w:t>Additive Manufacturing (AM) with its design flexibility in comparison to traditional manufacturing exhibits high potential for the development of novel biomedical implants</w:t>
      </w:r>
      <w:r w:rsidR="00E16798">
        <w:t xml:space="preserve"> [1</w:t>
      </w:r>
      <w:r w:rsidR="00B62EF1">
        <w:t>2</w:t>
      </w:r>
      <w:r w:rsidR="00E16798">
        <w:t>-1</w:t>
      </w:r>
      <w:r w:rsidR="00B62EF1">
        <w:t>4</w:t>
      </w:r>
      <w:r w:rsidR="00E16798">
        <w:t>]</w:t>
      </w:r>
      <w:r>
        <w:t>. However,</w:t>
      </w:r>
      <w:r w:rsidR="004516C9">
        <w:t xml:space="preserve"> </w:t>
      </w:r>
      <w:r w:rsidR="007765C7">
        <w:t>t</w:t>
      </w:r>
      <w:r w:rsidR="008975AD">
        <w:t xml:space="preserve">he design of </w:t>
      </w:r>
      <w:r w:rsidR="007765C7">
        <w:t xml:space="preserve">novel </w:t>
      </w:r>
      <w:proofErr w:type="spellStart"/>
      <w:r w:rsidR="007765C7">
        <w:t>Ti</w:t>
      </w:r>
      <w:proofErr w:type="spellEnd"/>
      <w:r w:rsidR="007765C7">
        <w:t xml:space="preserve">-based </w:t>
      </w:r>
      <w:r w:rsidR="008975AD">
        <w:t xml:space="preserve">alloys </w:t>
      </w:r>
      <w:r w:rsidR="007765C7">
        <w:t>suitable</w:t>
      </w:r>
      <w:r w:rsidR="008975AD">
        <w:t xml:space="preserve"> </w:t>
      </w:r>
      <w:r w:rsidR="007765C7">
        <w:t xml:space="preserve">for </w:t>
      </w:r>
      <w:r w:rsidR="008975AD">
        <w:t>additive manufactur</w:t>
      </w:r>
      <w:r w:rsidR="007765C7">
        <w:t>ing technology</w:t>
      </w:r>
      <w:r w:rsidR="008975AD">
        <w:t xml:space="preserve"> is very </w:t>
      </w:r>
      <w:r w:rsidR="007765C7">
        <w:t>complex.</w:t>
      </w:r>
      <w:r w:rsidR="008975AD">
        <w:t xml:space="preserve"> </w:t>
      </w:r>
      <w:r w:rsidR="007765C7">
        <w:t xml:space="preserve">This study is a preliminary work which will form </w:t>
      </w:r>
      <w:r w:rsidR="008900F0">
        <w:t>a</w:t>
      </w:r>
      <w:r w:rsidR="007765C7">
        <w:t xml:space="preserve"> basis </w:t>
      </w:r>
      <w:r w:rsidR="008900F0">
        <w:t xml:space="preserve">to shed light into the development of novel </w:t>
      </w:r>
      <w:r w:rsidR="008900F0">
        <w:t>β-</w:t>
      </w:r>
      <w:proofErr w:type="spellStart"/>
      <w:r w:rsidR="008900F0">
        <w:t>Ti</w:t>
      </w:r>
      <w:proofErr w:type="spellEnd"/>
      <w:r w:rsidR="008900F0">
        <w:t xml:space="preserve"> </w:t>
      </w:r>
      <w:r w:rsidR="008900F0">
        <w:t>alloys for AM. We studied</w:t>
      </w:r>
      <w:r w:rsidR="009F4966">
        <w:t xml:space="preserve"> </w:t>
      </w:r>
      <w:r w:rsidR="007144D2">
        <w:t>how microstructure of β-</w:t>
      </w:r>
      <w:proofErr w:type="spellStart"/>
      <w:r w:rsidR="007144D2">
        <w:t>Ti</w:t>
      </w:r>
      <w:proofErr w:type="spellEnd"/>
      <w:r w:rsidR="007144D2">
        <w:t xml:space="preserve"> alloys evolve</w:t>
      </w:r>
      <w:r w:rsidR="008900F0">
        <w:t>s</w:t>
      </w:r>
      <w:r w:rsidR="007144D2">
        <w:t xml:space="preserve"> as the cooling rate increases, approaching </w:t>
      </w:r>
      <w:r w:rsidR="008900F0">
        <w:t>the cooling rates</w:t>
      </w:r>
      <w:r w:rsidR="007144D2">
        <w:t xml:space="preserve"> found in additive manufacturing processes</w:t>
      </w:r>
      <w:r w:rsidR="00A94650">
        <w:t>.</w:t>
      </w:r>
      <w:r w:rsidR="00863DAB">
        <w:t xml:space="preserve"> </w:t>
      </w:r>
      <w:r w:rsidR="00E27CE5">
        <w:t>Using suction casting of thin rods, high cooling rates can be studied and compared</w:t>
      </w:r>
      <w:r w:rsidR="007144D2">
        <w:t>, to find a trend in how these phases evolve</w:t>
      </w:r>
      <w:r w:rsidR="00055DBF">
        <w:t xml:space="preserve"> under a broad range of solidification conditions</w:t>
      </w:r>
      <w:r w:rsidR="007144D2">
        <w:t>.</w:t>
      </w:r>
    </w:p>
    <w:p w14:paraId="477EF5A0" w14:textId="005724D0" w:rsidR="008900F0" w:rsidRDefault="00BF1C95" w:rsidP="00A06147">
      <w:pPr>
        <w:pStyle w:val="Heading1"/>
        <w:spacing w:before="120" w:after="120"/>
      </w:pPr>
      <w:r>
        <w:t>Experimental</w:t>
      </w:r>
    </w:p>
    <w:p w14:paraId="1F85CDAD" w14:textId="4523F91E" w:rsidR="00B21F3C" w:rsidRDefault="00BF1C95" w:rsidP="008900F0">
      <w:pPr>
        <w:spacing w:line="360" w:lineRule="auto"/>
      </w:pPr>
      <w:r w:rsidRPr="00B67B14">
        <w:t>The binary Ti-25Nb</w:t>
      </w:r>
      <w:r w:rsidR="005C2C01">
        <w:t xml:space="preserve"> </w:t>
      </w:r>
      <w:r w:rsidRPr="00B67B14">
        <w:t>alloys were synthesized using commercially pure (c. p.) titanium (grade 1 -</w:t>
      </w:r>
      <w:r w:rsidR="00A3605B">
        <w:t xml:space="preserve"> </w:t>
      </w:r>
      <w:r w:rsidRPr="00B67B14">
        <w:t>) and 99.9% pure niobium (99.</w:t>
      </w:r>
      <w:r w:rsidR="00A3605B">
        <w:t>85</w:t>
      </w:r>
      <w:r w:rsidRPr="00B67B14">
        <w:t xml:space="preserve">% Nb, 0.1% Ta, 0.01% C, 0.01% N, 0.01% O, </w:t>
      </w:r>
      <w:r w:rsidR="00A3605B">
        <w:t>&lt;</w:t>
      </w:r>
      <w:r w:rsidRPr="00B67B14">
        <w:t xml:space="preserve"> 0.005% Si, </w:t>
      </w:r>
      <w:r w:rsidR="00A3605B">
        <w:t>&lt;</w:t>
      </w:r>
      <w:r w:rsidRPr="00B67B14">
        <w:t>0.001% H)</w:t>
      </w:r>
      <w:r w:rsidR="001D36CF" w:rsidRPr="00B67B14">
        <w:t>. The ternary alloy, Ti-20Nb-10Ta</w:t>
      </w:r>
      <w:r w:rsidR="005C2C01">
        <w:t xml:space="preserve"> (TNT)</w:t>
      </w:r>
      <w:r w:rsidR="00EC291F" w:rsidRPr="00B67B14">
        <w:t>,</w:t>
      </w:r>
      <w:r w:rsidR="001D36CF" w:rsidRPr="00B67B14">
        <w:t xml:space="preserve"> was in the form of wrought </w:t>
      </w:r>
      <w:r w:rsidR="00EC291F" w:rsidRPr="00B67B14">
        <w:t xml:space="preserve">bar </w:t>
      </w:r>
      <w:r w:rsidR="00FB0EC6">
        <w:t>with</w:t>
      </w:r>
      <w:r w:rsidR="00EC291F" w:rsidRPr="00B67B14">
        <w:t xml:space="preserve"> nominal composition</w:t>
      </w:r>
      <w:r w:rsidRPr="00B67B14">
        <w:t>. The starting materials were weighed and placed in a Buhler Arc-</w:t>
      </w:r>
      <w:proofErr w:type="spellStart"/>
      <w:r w:rsidRPr="00B67B14">
        <w:t>melter</w:t>
      </w:r>
      <w:proofErr w:type="spellEnd"/>
      <w:r w:rsidRPr="00B67B14">
        <w:t xml:space="preserve"> within a water cooled copper hearth. Before melting</w:t>
      </w:r>
      <w:r w:rsidR="00FB0EC6">
        <w:t>,</w:t>
      </w:r>
      <w:r w:rsidRPr="00B67B14">
        <w:t xml:space="preserve"> the chamber was evacuated </w:t>
      </w:r>
      <w:r w:rsidR="001D36CF" w:rsidRPr="00B67B14">
        <w:t>to ~5x10</w:t>
      </w:r>
      <w:r w:rsidR="001D36CF" w:rsidRPr="00FB0EC6">
        <w:rPr>
          <w:vertAlign w:val="superscript"/>
        </w:rPr>
        <w:t>-5</w:t>
      </w:r>
      <w:r w:rsidR="001D36CF" w:rsidRPr="00B67B14">
        <w:t xml:space="preserve"> mbar </w:t>
      </w:r>
      <w:r w:rsidRPr="00B67B14">
        <w:t>and back-filled with argon</w:t>
      </w:r>
      <w:r w:rsidR="00FB0EC6">
        <w:t xml:space="preserve"> (</w:t>
      </w:r>
      <w:proofErr w:type="spellStart"/>
      <w:r w:rsidR="00FB0EC6">
        <w:t>Ar</w:t>
      </w:r>
      <w:proofErr w:type="spellEnd"/>
      <w:r w:rsidR="00FB0EC6">
        <w:t>)</w:t>
      </w:r>
      <w:r w:rsidRPr="00B67B14">
        <w:t xml:space="preserve"> </w:t>
      </w:r>
      <w:r w:rsidR="00FB0EC6">
        <w:t>three (3)</w:t>
      </w:r>
      <w:r w:rsidR="001D36CF" w:rsidRPr="00B67B14">
        <w:t xml:space="preserve"> times to ensure very low oxygen partial pressure. A pure </w:t>
      </w:r>
      <w:proofErr w:type="spellStart"/>
      <w:r w:rsidR="00FB0EC6">
        <w:t>Ti</w:t>
      </w:r>
      <w:proofErr w:type="spellEnd"/>
      <w:r w:rsidR="001D36CF" w:rsidRPr="00B67B14">
        <w:t xml:space="preserve"> getter was melted before the sample to scavenge any remaining oxygen. The alloy samples were remelted and flipped 5 times each to ensure homogenous composition. The button shaped alloy ingots were then place</w:t>
      </w:r>
      <w:r w:rsidR="00EC291F" w:rsidRPr="00B67B14">
        <w:t>d</w:t>
      </w:r>
      <w:r w:rsidR="001D36CF" w:rsidRPr="00B67B14">
        <w:t xml:space="preserve"> on top of the suction casting apparatus where they were cast into rods of diameters 3, 5 and 10</w:t>
      </w:r>
      <w:r w:rsidR="00DE02CB">
        <w:t xml:space="preserve"> </w:t>
      </w:r>
      <w:r w:rsidR="001D36CF" w:rsidRPr="00B67B14">
        <w:t xml:space="preserve">mm to </w:t>
      </w:r>
      <w:r w:rsidR="00EC291F" w:rsidRPr="00B67B14">
        <w:t>provide varied cooling rates</w:t>
      </w:r>
      <w:r w:rsidR="007C2D48" w:rsidRPr="00B67B14">
        <w:t xml:space="preserve"> </w:t>
      </w:r>
      <w:r w:rsidR="007C2D48" w:rsidRPr="00DE02CB">
        <w:t>which</w:t>
      </w:r>
      <w:r w:rsidR="007C2D48" w:rsidRPr="00B67B14">
        <w:t xml:space="preserve"> were estimated using an ANSYS Fluent solidification model, with material properties informed by </w:t>
      </w:r>
      <w:proofErr w:type="spellStart"/>
      <w:r w:rsidR="007C2D48" w:rsidRPr="00B67B14">
        <w:t>ThermoCalc</w:t>
      </w:r>
      <w:proofErr w:type="spellEnd"/>
      <w:r w:rsidR="007C2D48" w:rsidRPr="00B67B14">
        <w:t xml:space="preserve"> calculations for these compositions</w:t>
      </w:r>
      <w:r w:rsidR="00EC291F" w:rsidRPr="00B67B14">
        <w:t>.</w:t>
      </w:r>
      <w:r w:rsidR="00DE02CB">
        <w:t xml:space="preserve"> </w:t>
      </w:r>
    </w:p>
    <w:p w14:paraId="6051FD4D" w14:textId="20A3E5A4" w:rsidR="00C42178" w:rsidRDefault="002F5F76" w:rsidP="008900F0">
      <w:pPr>
        <w:spacing w:line="360" w:lineRule="auto"/>
      </w:pPr>
      <w:r>
        <w:t>For SEM and XRD analysis, t</w:t>
      </w:r>
      <w:r w:rsidR="00DE02CB">
        <w:t>he</w:t>
      </w:r>
      <w:r>
        <w:t xml:space="preserve"> cast rods were sectioned by Buehler Isomet 1000 precision cutter and diamond wafering blade</w:t>
      </w:r>
      <w:r w:rsidR="00BB71C4">
        <w:t>, then</w:t>
      </w:r>
      <w:r>
        <w:t xml:space="preserve"> ground using 220 grit </w:t>
      </w:r>
      <w:proofErr w:type="spellStart"/>
      <w:r>
        <w:t>SiC</w:t>
      </w:r>
      <w:proofErr w:type="spellEnd"/>
      <w:r>
        <w:t xml:space="preserve"> paper to remove influence of cutting and</w:t>
      </w:r>
      <w:r w:rsidR="00BB71C4">
        <w:t xml:space="preserve"> to</w:t>
      </w:r>
      <w:r>
        <w:t xml:space="preserve"> ensure flatness. The parts were polished with 9 µm diamond suspension and 0.02 µm colloidal silica suspension.</w:t>
      </w:r>
      <w:r w:rsidRPr="002F5F76">
        <w:t xml:space="preserve"> </w:t>
      </w:r>
      <w:r>
        <w:t>XRD analysis was conducted using a Siemens D500 X-ray diffractometer, with Cu-Kα source with a wavelength (</w:t>
      </w:r>
      <w:r w:rsidR="00026B35">
        <w:t>λ</w:t>
      </w:r>
      <w:r>
        <w:t>) of 1.5406 Å. The diffractometer was set to scan the 2θ range of</w:t>
      </w:r>
      <w:r w:rsidR="00BB71C4">
        <w:t xml:space="preserve"> </w:t>
      </w:r>
      <w:r w:rsidR="00026B35">
        <w:t>2</w:t>
      </w:r>
      <w:r>
        <w:t>0°–</w:t>
      </w:r>
      <w:r w:rsidR="00026B35">
        <w:t>9</w:t>
      </w:r>
      <w:r>
        <w:t xml:space="preserve">0°, with a step increment of 0.02° and a </w:t>
      </w:r>
      <w:r w:rsidR="00026B35">
        <w:t xml:space="preserve">dwell </w:t>
      </w:r>
      <w:r>
        <w:t>time of 4 s</w:t>
      </w:r>
      <w:r w:rsidR="00026B35">
        <w:t>/step</w:t>
      </w:r>
      <w:r>
        <w:t>.</w:t>
      </w:r>
      <w:r w:rsidR="00026B35">
        <w:t xml:space="preserve"> SEM/ED</w:t>
      </w:r>
      <w:r w:rsidR="00FB0EC6">
        <w:t>S</w:t>
      </w:r>
      <w:r w:rsidR="00026B35">
        <w:t xml:space="preserve"> analysis was performed on a Hitachi Regulus 8230</w:t>
      </w:r>
      <w:r w:rsidR="00FB0EC6">
        <w:t xml:space="preserve"> and</w:t>
      </w:r>
      <w:r w:rsidR="00026B35">
        <w:t xml:space="preserve"> </w:t>
      </w:r>
      <w:r w:rsidR="00FB0EC6">
        <w:t>n</w:t>
      </w:r>
      <w:r w:rsidR="00BB71C4">
        <w:t>ano</w:t>
      </w:r>
      <w:r w:rsidR="00FB0EC6">
        <w:t>-</w:t>
      </w:r>
      <w:r w:rsidR="00BB71C4">
        <w:t xml:space="preserve">indentation was performed </w:t>
      </w:r>
      <w:r w:rsidR="00FB0EC6">
        <w:t xml:space="preserve">on 5 </w:t>
      </w:r>
      <w:r w:rsidR="001A04C2">
        <w:t xml:space="preserve">different </w:t>
      </w:r>
      <w:r w:rsidR="00FB0EC6">
        <w:t xml:space="preserve">positions </w:t>
      </w:r>
      <w:r w:rsidR="001A04C2">
        <w:t xml:space="preserve">with 25 </w:t>
      </w:r>
      <w:r w:rsidR="001A04C2">
        <w:sym w:font="Symbol" w:char="F06D"/>
      </w:r>
      <w:r w:rsidR="001A04C2">
        <w:t>m spacing using</w:t>
      </w:r>
      <w:r w:rsidR="00BB71C4">
        <w:t xml:space="preserve"> a Keysight G</w:t>
      </w:r>
      <w:r w:rsidR="00A47356">
        <w:t>200 Nano</w:t>
      </w:r>
      <w:r w:rsidR="001A04C2">
        <w:t>-</w:t>
      </w:r>
      <w:r w:rsidR="00A47356">
        <w:t>indenter</w:t>
      </w:r>
      <w:r w:rsidR="00FB0EC6">
        <w:t xml:space="preserve"> to determine modulus of elasticity</w:t>
      </w:r>
      <w:r w:rsidR="00A47356">
        <w:t>. Hardness testing was performed with a</w:t>
      </w:r>
      <w:r w:rsidR="00A47356" w:rsidRPr="00A47356">
        <w:t xml:space="preserve"> Buehler Vickers hardness testing machine using a load of 500gf and a dwell time of 15s.</w:t>
      </w:r>
    </w:p>
    <w:p w14:paraId="569463E0" w14:textId="5896F734" w:rsidR="005C2C01" w:rsidRDefault="00B21F3C" w:rsidP="00674B42">
      <w:pPr>
        <w:pStyle w:val="Heading1"/>
      </w:pPr>
      <w:r w:rsidRPr="00936AD2">
        <w:t xml:space="preserve">Results </w:t>
      </w:r>
      <w:r w:rsidR="0033560A">
        <w:t>and Discussion</w:t>
      </w:r>
    </w:p>
    <w:p w14:paraId="04D4DF15" w14:textId="2565B7C7" w:rsidR="005C2C01" w:rsidRDefault="005C2C01" w:rsidP="00674B42">
      <w:pPr>
        <w:pStyle w:val="Heading2"/>
      </w:pPr>
      <w:r>
        <w:t xml:space="preserve">Cooling </w:t>
      </w:r>
      <w:r w:rsidR="007325BE">
        <w:t>r</w:t>
      </w:r>
      <w:r>
        <w:t>ate modelling</w:t>
      </w:r>
    </w:p>
    <w:p w14:paraId="1DED46C7" w14:textId="5B2C82D6" w:rsidR="0055225E" w:rsidRDefault="007325BE" w:rsidP="001A04C2">
      <w:pPr>
        <w:spacing w:before="120" w:after="0" w:line="360" w:lineRule="auto"/>
      </w:pPr>
      <w:r>
        <w:t xml:space="preserve">FEA simulations using ANSYS Fluent software were performed to create a basic model of the heat extraction and solidification of the alloy melt in the </w:t>
      </w:r>
      <w:r w:rsidR="001A04C2">
        <w:t>Cu</w:t>
      </w:r>
      <w:r>
        <w:t xml:space="preserve"> cylindrical moulds. </w:t>
      </w:r>
      <w:r w:rsidRPr="007325BE">
        <w:t xml:space="preserve">This was a simple 1D axisymmetric model informed </w:t>
      </w:r>
      <w:r w:rsidR="00A47356">
        <w:t>with</w:t>
      </w:r>
      <w:r w:rsidRPr="007325BE">
        <w:t xml:space="preserve"> material data from Thermo-Calc. The thermal gradient and cooling rate value for each section was taken at the midpoint of the tube length, at half way from the centre to the radius of the rod, to give a representative figure for each rod</w:t>
      </w:r>
      <w:r w:rsidR="00A47356">
        <w:t xml:space="preserve"> diameter</w:t>
      </w:r>
      <w:r w:rsidRPr="007325BE">
        <w:t>. The cooling rate and thermal gradient single values were taken at the melting point of the alloy, where these values were approximately maximised</w:t>
      </w:r>
      <w:r w:rsidR="00AD7D65">
        <w:t xml:space="preserve">. To compare this to an additively manufactured condition, the Rosenthal model for a moving heat source was implemented in Python programming language. This provided an estimation of the cooling rate and thermal gradient under a variety of </w:t>
      </w:r>
      <w:r w:rsidR="005B3D46">
        <w:t>AM</w:t>
      </w:r>
      <w:r w:rsidR="00AD7D65">
        <w:t xml:space="preserve"> parameters</w:t>
      </w:r>
      <w:r w:rsidR="0055225E">
        <w:t xml:space="preserve">, where a </w:t>
      </w:r>
      <w:r w:rsidR="0055225E">
        <w:lastRenderedPageBreak/>
        <w:t>representative scanning speed and laser power of 1200</w:t>
      </w:r>
      <w:r w:rsidR="005B3D46">
        <w:t xml:space="preserve"> </w:t>
      </w:r>
      <w:r w:rsidR="0055225E">
        <w:t>mm/s and 50W was chosen</w:t>
      </w:r>
      <w:r w:rsidR="005B3D46">
        <w:t>, respectively</w:t>
      </w:r>
      <w:r w:rsidR="00AD7D65">
        <w:t>.</w:t>
      </w:r>
      <w:r w:rsidR="00412BD3">
        <w:t xml:space="preserve"> These values are shown in </w:t>
      </w:r>
      <w:r w:rsidR="00412BD3">
        <w:fldChar w:fldCharType="begin"/>
      </w:r>
      <w:r w:rsidR="00412BD3">
        <w:instrText xml:space="preserve"> REF _Ref113632438 \h </w:instrText>
      </w:r>
      <w:r w:rsidR="00412BD3">
        <w:fldChar w:fldCharType="separate"/>
      </w:r>
      <w:r w:rsidR="00412BD3">
        <w:t xml:space="preserve">Figure </w:t>
      </w:r>
      <w:r w:rsidR="00412BD3">
        <w:rPr>
          <w:noProof/>
        </w:rPr>
        <w:t>1</w:t>
      </w:r>
      <w:r w:rsidR="00412BD3">
        <w:fldChar w:fldCharType="end"/>
      </w:r>
      <w:r w:rsidR="00412BD3">
        <w:t>.</w:t>
      </w:r>
    </w:p>
    <w:p w14:paraId="535DDC63" w14:textId="77777777" w:rsidR="0055225E" w:rsidRDefault="0055225E" w:rsidP="0055225E">
      <w:pPr>
        <w:keepNext/>
        <w:jc w:val="center"/>
      </w:pPr>
      <w:r w:rsidRPr="0055225E">
        <w:rPr>
          <w:noProof/>
        </w:rPr>
        <w:drawing>
          <wp:inline distT="0" distB="0" distL="0" distR="0" wp14:anchorId="333FD11B" wp14:editId="7B604CE1">
            <wp:extent cx="3600000" cy="3739597"/>
            <wp:effectExtent l="0" t="0" r="0" b="0"/>
            <wp:docPr id="17" name="Picture 1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bar chart&#10;&#10;Description automatically generated"/>
                    <pic:cNvPicPr/>
                  </pic:nvPicPr>
                  <pic:blipFill>
                    <a:blip r:embed="rId6"/>
                    <a:stretch>
                      <a:fillRect/>
                    </a:stretch>
                  </pic:blipFill>
                  <pic:spPr>
                    <a:xfrm>
                      <a:off x="0" y="0"/>
                      <a:ext cx="3600000" cy="3739597"/>
                    </a:xfrm>
                    <a:prstGeom prst="rect">
                      <a:avLst/>
                    </a:prstGeom>
                  </pic:spPr>
                </pic:pic>
              </a:graphicData>
            </a:graphic>
          </wp:inline>
        </w:drawing>
      </w:r>
    </w:p>
    <w:p w14:paraId="17ECDF7D" w14:textId="4BE974BD" w:rsidR="009F2108" w:rsidRPr="009F2108" w:rsidRDefault="0055225E" w:rsidP="001A04C2">
      <w:pPr>
        <w:pStyle w:val="Caption"/>
      </w:pPr>
      <w:bookmarkStart w:id="1" w:name="_Ref113632438"/>
      <w:r>
        <w:t xml:space="preserve">Figure </w:t>
      </w:r>
      <w:r w:rsidR="00000000">
        <w:fldChar w:fldCharType="begin"/>
      </w:r>
      <w:r w:rsidR="00000000">
        <w:instrText xml:space="preserve"> SEQ Figure \* ARABIC </w:instrText>
      </w:r>
      <w:r w:rsidR="00000000">
        <w:fldChar w:fldCharType="separate"/>
      </w:r>
      <w:r w:rsidR="00D276C6">
        <w:rPr>
          <w:noProof/>
        </w:rPr>
        <w:t>1</w:t>
      </w:r>
      <w:r w:rsidR="00000000">
        <w:rPr>
          <w:noProof/>
        </w:rPr>
        <w:fldChar w:fldCharType="end"/>
      </w:r>
      <w:bookmarkEnd w:id="1"/>
      <w:r>
        <w:t>: Cooling rates and temperature gradients of suction cast rods and comparison with additive manufactured part</w:t>
      </w:r>
    </w:p>
    <w:p w14:paraId="48B3539D" w14:textId="121C339D" w:rsidR="005A408B" w:rsidRDefault="00516789" w:rsidP="00516789">
      <w:pPr>
        <w:pStyle w:val="Heading2"/>
      </w:pPr>
      <w:r>
        <w:t>XRD Analysis</w:t>
      </w:r>
    </w:p>
    <w:p w14:paraId="4B760ABF" w14:textId="77777777" w:rsidR="00516789" w:rsidRPr="00516789" w:rsidRDefault="00516789" w:rsidP="00516789"/>
    <w:p w14:paraId="63156EB2" w14:textId="77777777" w:rsidR="00581456" w:rsidRDefault="0033560A" w:rsidP="00C42178">
      <w:pPr>
        <w:pStyle w:val="Caption"/>
        <w:jc w:val="center"/>
      </w:pPr>
      <w:bookmarkStart w:id="2" w:name="_Ref113624085"/>
      <w:r w:rsidRPr="00DE02CB">
        <w:rPr>
          <w:noProof/>
        </w:rPr>
        <w:drawing>
          <wp:inline distT="0" distB="0" distL="0" distR="0" wp14:anchorId="100FC654" wp14:editId="116F5107">
            <wp:extent cx="4744373" cy="2742758"/>
            <wp:effectExtent l="0" t="0" r="5715" b="635"/>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7"/>
                    <a:stretch>
                      <a:fillRect/>
                    </a:stretch>
                  </pic:blipFill>
                  <pic:spPr>
                    <a:xfrm>
                      <a:off x="0" y="0"/>
                      <a:ext cx="4787017" cy="2767411"/>
                    </a:xfrm>
                    <a:prstGeom prst="rect">
                      <a:avLst/>
                    </a:prstGeom>
                  </pic:spPr>
                </pic:pic>
              </a:graphicData>
            </a:graphic>
          </wp:inline>
        </w:drawing>
      </w:r>
    </w:p>
    <w:p w14:paraId="601000D5" w14:textId="171D7B6E" w:rsidR="00DE02CB" w:rsidRDefault="00C42178" w:rsidP="00C42178">
      <w:pPr>
        <w:pStyle w:val="Caption"/>
        <w:jc w:val="center"/>
      </w:pPr>
      <w:bookmarkStart w:id="3" w:name="_Ref113632514"/>
      <w:r>
        <w:t xml:space="preserve">Figure </w:t>
      </w:r>
      <w:r w:rsidR="00000000">
        <w:fldChar w:fldCharType="begin"/>
      </w:r>
      <w:r w:rsidR="00000000">
        <w:instrText xml:space="preserve"> SEQ Figure \* ARABIC </w:instrText>
      </w:r>
      <w:r w:rsidR="00000000">
        <w:fldChar w:fldCharType="separate"/>
      </w:r>
      <w:r w:rsidR="00D276C6">
        <w:rPr>
          <w:noProof/>
        </w:rPr>
        <w:t>2</w:t>
      </w:r>
      <w:r w:rsidR="00000000">
        <w:rPr>
          <w:noProof/>
        </w:rPr>
        <w:fldChar w:fldCharType="end"/>
      </w:r>
      <w:bookmarkEnd w:id="2"/>
      <w:bookmarkEnd w:id="3"/>
      <w:r>
        <w:t xml:space="preserve">: XRD patterns of </w:t>
      </w:r>
      <w:r>
        <w:rPr>
          <w:noProof/>
        </w:rPr>
        <w:t xml:space="preserve"> Ti-25Nb alloys depending on suction casting diameter</w:t>
      </w:r>
    </w:p>
    <w:p w14:paraId="6CE8B60B" w14:textId="22C4BD81" w:rsidR="00516789" w:rsidRDefault="00516789" w:rsidP="00516789">
      <w:pPr>
        <w:spacing w:line="360" w:lineRule="auto"/>
      </w:pPr>
      <w:r>
        <w:t xml:space="preserve">As seen in </w:t>
      </w:r>
      <w:r>
        <w:fldChar w:fldCharType="begin"/>
      </w:r>
      <w:r>
        <w:instrText xml:space="preserve"> REF _Ref113632514 \h </w:instrText>
      </w:r>
      <w:r>
        <w:fldChar w:fldCharType="separate"/>
      </w:r>
      <w:r>
        <w:t xml:space="preserve">Figure </w:t>
      </w:r>
      <w:r>
        <w:rPr>
          <w:noProof/>
        </w:rPr>
        <w:t>2</w:t>
      </w:r>
      <w:r>
        <w:fldChar w:fldCharType="end"/>
      </w:r>
      <w:r>
        <w:t xml:space="preserve">, the primary phase in all samples is the orthorhombic α’’ phase. There was a significant formation of the ω phase in the 5mm cast sample when compared to the 10mm sample, however with increasing cooling rate in the 3mm sample, this phase appeared suppressed, instead the β-phase is preferred. </w:t>
      </w:r>
      <w:r w:rsidR="005D5DCA">
        <w:t>Hence, retained</w:t>
      </w:r>
      <w:r w:rsidR="005D5DCA" w:rsidRPr="005D5DCA">
        <w:t xml:space="preserve"> </w:t>
      </w:r>
      <w:r w:rsidR="005D5DCA">
        <w:lastRenderedPageBreak/>
        <w:t>β-phase</w:t>
      </w:r>
      <w:r w:rsidR="005D5DCA">
        <w:t xml:space="preserve"> is only observed in 3 mm sample. </w:t>
      </w:r>
      <w:r>
        <w:t>This suggests that while the cooling rate in the 5mm casting is sufficient to allow ω growth from the high-temperature β phase, when it is increased further, the β-phase will persist to room temperature. It should be noted that these samples have significant texture effects due to the extreme thermal gradients of the solidification, this can affect the relative intensities of the peaks as some crystallographic planes may be under- or over-represented. Significant phase shifts may also be caused by stresses in the as-cast material.</w:t>
      </w:r>
      <w:r w:rsidR="002D2C7C">
        <w:t xml:space="preserve"> Further study is needed to determine fully understand the phase evolution with increasing cooling rate. </w:t>
      </w:r>
      <w:r>
        <w:t xml:space="preserve"> </w:t>
      </w:r>
    </w:p>
    <w:p w14:paraId="0C3AD242" w14:textId="48E461AC" w:rsidR="00C42178" w:rsidRDefault="002D2C7C" w:rsidP="005D5DCA">
      <w:pPr>
        <w:spacing w:line="360" w:lineRule="auto"/>
      </w:pPr>
      <w:r>
        <w:t>T</w:t>
      </w:r>
      <w:r w:rsidR="00DD0B27">
        <w:t xml:space="preserve">he </w:t>
      </w:r>
      <w:r w:rsidR="00412BD3">
        <w:t>effect</w:t>
      </w:r>
      <w:r w:rsidR="00DD0B27">
        <w:t xml:space="preserve"> of ternary addition </w:t>
      </w:r>
      <w:r>
        <w:t>is shown in Figure 3</w:t>
      </w:r>
      <w:r w:rsidR="00DD0B27">
        <w:t xml:space="preserve">. </w:t>
      </w:r>
      <w:r w:rsidR="005C2C01">
        <w:t xml:space="preserve">Ti-20Nb-10Ta </w:t>
      </w:r>
      <w:r w:rsidR="00DD0B27">
        <w:t>composition was chosen to have the same equilibrium β-</w:t>
      </w:r>
      <w:proofErr w:type="spellStart"/>
      <w:r w:rsidR="00DD0B27">
        <w:t>transus</w:t>
      </w:r>
      <w:proofErr w:type="spellEnd"/>
      <w:r w:rsidR="00DD0B27">
        <w:t xml:space="preserve"> temperature as Ti</w:t>
      </w:r>
      <w:r w:rsidR="005C2C01">
        <w:t>-20</w:t>
      </w:r>
      <w:r w:rsidR="00DD0B27">
        <w:t>Nb</w:t>
      </w:r>
      <w:r>
        <w:t xml:space="preserve"> predicted via thermodynamic calculations</w:t>
      </w:r>
      <w:r w:rsidR="00DD0B27">
        <w:t xml:space="preserve">, as such the </w:t>
      </w:r>
      <w:r w:rsidR="005C2C01">
        <w:t xml:space="preserve">influence of </w:t>
      </w:r>
      <w:r>
        <w:t>Ta</w:t>
      </w:r>
      <w:r w:rsidR="005C2C01">
        <w:t xml:space="preserve"> on the </w:t>
      </w:r>
      <w:r w:rsidR="00DD0B27">
        <w:t xml:space="preserve">metastability </w:t>
      </w:r>
      <w:r w:rsidR="005C2C01">
        <w:t>of the system is apparent. The primary phases in the 10mm sample</w:t>
      </w:r>
      <w:r w:rsidR="005D5DCA">
        <w:t>,</w:t>
      </w:r>
      <w:r w:rsidR="005D5DCA" w:rsidRPr="005D5DCA">
        <w:t xml:space="preserve"> </w:t>
      </w:r>
      <w:r w:rsidR="005D5DCA" w:rsidRPr="005D5DCA">
        <w:t>orthorhombic α’’</w:t>
      </w:r>
      <w:r w:rsidR="005D5DCA">
        <w:t>,</w:t>
      </w:r>
      <w:r w:rsidR="005D5DCA" w:rsidRPr="005D5DCA">
        <w:t xml:space="preserve"> </w:t>
      </w:r>
      <w:r w:rsidR="005D5DCA">
        <w:t>β</w:t>
      </w:r>
      <w:r w:rsidR="005D5DCA">
        <w:t xml:space="preserve"> and </w:t>
      </w:r>
      <w:r w:rsidR="005D5DCA">
        <w:t>ω</w:t>
      </w:r>
      <w:r w:rsidR="005D5DCA">
        <w:t xml:space="preserve">, </w:t>
      </w:r>
      <w:r w:rsidR="005C2C01">
        <w:t xml:space="preserve"> are similar to the binary alloy, however as the cooling rate increases, the evolution of the metastable phase ω appears suppressed – it is only apparent in the 3mm sample, compared to 5mm in the binary alloy. The </w:t>
      </w:r>
      <w:r w:rsidR="005D5DCA">
        <w:t xml:space="preserve">retained </w:t>
      </w:r>
      <w:r w:rsidR="005C2C01">
        <w:t>β</w:t>
      </w:r>
      <w:r w:rsidR="005D5DCA">
        <w:t>-phase</w:t>
      </w:r>
      <w:r w:rsidR="005C2C01">
        <w:t xml:space="preserve"> </w:t>
      </w:r>
      <w:r w:rsidR="00581456">
        <w:t xml:space="preserve">that was seen in </w:t>
      </w:r>
      <w:r w:rsidR="005D5DCA">
        <w:t xml:space="preserve">3mm binary </w:t>
      </w:r>
      <w:r w:rsidR="00581456">
        <w:t>Ti</w:t>
      </w:r>
      <w:r w:rsidR="005D5DCA">
        <w:t>-20</w:t>
      </w:r>
      <w:r w:rsidR="00581456">
        <w:t>Nb</w:t>
      </w:r>
      <w:r w:rsidR="005D5DCA">
        <w:t xml:space="preserve"> sample</w:t>
      </w:r>
      <w:r w:rsidR="00581456">
        <w:t xml:space="preserve"> </w:t>
      </w:r>
      <w:r w:rsidR="005D5DCA">
        <w:t>wa</w:t>
      </w:r>
      <w:r w:rsidR="005C2C01">
        <w:t xml:space="preserve">s not visible in the 3mm TNT </w:t>
      </w:r>
      <w:r w:rsidR="005D5DCA">
        <w:t>composition</w:t>
      </w:r>
      <w:r w:rsidR="005C2C01">
        <w:t>.</w:t>
      </w:r>
      <w:r w:rsidR="005D5DCA">
        <w:t xml:space="preserve"> Hence, it can be stated that with ternary alloying addition have changed the phase transformation kinetics</w:t>
      </w:r>
      <w:r w:rsidR="00B85FFB">
        <w:t xml:space="preserve"> and dependency to cooling rates. </w:t>
      </w:r>
    </w:p>
    <w:p w14:paraId="36F8FC14" w14:textId="1E933CBE" w:rsidR="00C42178" w:rsidRDefault="0033560A" w:rsidP="00581456">
      <w:pPr>
        <w:keepNext/>
        <w:jc w:val="center"/>
      </w:pPr>
      <w:r w:rsidRPr="00DE02CB">
        <w:rPr>
          <w:noProof/>
        </w:rPr>
        <w:drawing>
          <wp:inline distT="0" distB="0" distL="0" distR="0" wp14:anchorId="6565DB64" wp14:editId="315D485E">
            <wp:extent cx="4744800" cy="2665974"/>
            <wp:effectExtent l="0" t="0" r="5080" b="1270"/>
            <wp:docPr id="2" name="Picture 2"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alendar&#10;&#10;Description automatically generated"/>
                    <pic:cNvPicPr/>
                  </pic:nvPicPr>
                  <pic:blipFill rotWithShape="1">
                    <a:blip r:embed="rId8"/>
                    <a:srcRect t="-1" r="620" b="846"/>
                    <a:stretch/>
                  </pic:blipFill>
                  <pic:spPr bwMode="auto">
                    <a:xfrm>
                      <a:off x="0" y="0"/>
                      <a:ext cx="4744800" cy="2665974"/>
                    </a:xfrm>
                    <a:prstGeom prst="rect">
                      <a:avLst/>
                    </a:prstGeom>
                    <a:ln>
                      <a:noFill/>
                    </a:ln>
                    <a:extLst>
                      <a:ext uri="{53640926-AAD7-44D8-BBD7-CCE9431645EC}">
                        <a14:shadowObscured xmlns:a14="http://schemas.microsoft.com/office/drawing/2010/main"/>
                      </a:ext>
                    </a:extLst>
                  </pic:spPr>
                </pic:pic>
              </a:graphicData>
            </a:graphic>
          </wp:inline>
        </w:drawing>
      </w:r>
    </w:p>
    <w:p w14:paraId="108C9F6E" w14:textId="1F0EE726" w:rsidR="00A47356" w:rsidRPr="00A47356" w:rsidRDefault="00C42178" w:rsidP="00B85FFB">
      <w:pPr>
        <w:pStyle w:val="Caption"/>
        <w:jc w:val="center"/>
      </w:pPr>
      <w:bookmarkStart w:id="4" w:name="_Ref113625317"/>
      <w:r>
        <w:t xml:space="preserve">Figure </w:t>
      </w:r>
      <w:r w:rsidR="00000000">
        <w:fldChar w:fldCharType="begin"/>
      </w:r>
      <w:r w:rsidR="00000000">
        <w:instrText xml:space="preserve"> SEQ Figure \* ARABIC </w:instrText>
      </w:r>
      <w:r w:rsidR="00000000">
        <w:fldChar w:fldCharType="separate"/>
      </w:r>
      <w:r w:rsidR="00D276C6">
        <w:rPr>
          <w:noProof/>
        </w:rPr>
        <w:t>3</w:t>
      </w:r>
      <w:r w:rsidR="00000000">
        <w:rPr>
          <w:noProof/>
        </w:rPr>
        <w:fldChar w:fldCharType="end"/>
      </w:r>
      <w:bookmarkEnd w:id="4"/>
      <w:r>
        <w:t xml:space="preserve">: </w:t>
      </w:r>
      <w:r w:rsidRPr="005A5D5E">
        <w:t>XRD patterns of  Ti-</w:t>
      </w:r>
      <w:r>
        <w:t>20</w:t>
      </w:r>
      <w:r w:rsidRPr="005A5D5E">
        <w:t>Nb</w:t>
      </w:r>
      <w:r>
        <w:t>-10Ta</w:t>
      </w:r>
      <w:r w:rsidRPr="005A5D5E">
        <w:t xml:space="preserve"> alloys depending on suction casting diameter</w:t>
      </w:r>
    </w:p>
    <w:p w14:paraId="1D4442E0" w14:textId="1092287A" w:rsidR="00516789" w:rsidRPr="00516789" w:rsidRDefault="00B85FFB" w:rsidP="00B85FFB">
      <w:pPr>
        <w:pStyle w:val="Heading2"/>
        <w:spacing w:after="120"/>
      </w:pPr>
      <w:r>
        <w:t>Microstructural Characterization</w:t>
      </w:r>
    </w:p>
    <w:p w14:paraId="4FF7A113" w14:textId="76A5F07D" w:rsidR="00563D84" w:rsidRDefault="00B85FFB" w:rsidP="00516789">
      <w:pPr>
        <w:keepNext/>
        <w:spacing w:line="360" w:lineRule="auto"/>
      </w:pPr>
      <w:r>
        <w:t>Figure 4 exhibits</w:t>
      </w:r>
      <w:r w:rsidR="00684A5B">
        <w:t xml:space="preserve"> dendrit</w:t>
      </w:r>
      <w:r>
        <w:t xml:space="preserve">ic </w:t>
      </w:r>
      <w:r w:rsidR="00F6768E">
        <w:t>micro</w:t>
      </w:r>
      <w:r>
        <w:t>structure</w:t>
      </w:r>
      <w:r w:rsidR="00F6768E">
        <w:t>, typical for as-cast condition,</w:t>
      </w:r>
      <w:r w:rsidR="00684A5B">
        <w:t xml:space="preserve"> </w:t>
      </w:r>
      <w:r w:rsidR="00F6768E">
        <w:t>in</w:t>
      </w:r>
      <w:r>
        <w:t xml:space="preserve"> all</w:t>
      </w:r>
      <w:r w:rsidR="00684A5B">
        <w:t xml:space="preserve"> </w:t>
      </w:r>
      <w:r>
        <w:t>ternary</w:t>
      </w:r>
      <w:r w:rsidR="00684A5B">
        <w:t xml:space="preserve"> TNT </w:t>
      </w:r>
      <w:r>
        <w:t>alloy samples with varying cooling rates</w:t>
      </w:r>
      <w:r w:rsidR="00684A5B">
        <w:t>. The secondary dendrite arm spacing</w:t>
      </w:r>
      <w:r w:rsidR="00F6768E">
        <w:t xml:space="preserve"> (SDAS)</w:t>
      </w:r>
      <w:r w:rsidR="00684A5B">
        <w:t xml:space="preserve"> </w:t>
      </w:r>
      <w:r w:rsidR="00F6768E">
        <w:t xml:space="preserve">decreased with cooling rates: </w:t>
      </w:r>
      <w:r w:rsidR="00684A5B">
        <w:t>from 25.3 µm at 10mm diameter to 8.5</w:t>
      </w:r>
      <w:r w:rsidR="00932616">
        <w:t xml:space="preserve"> </w:t>
      </w:r>
      <w:r w:rsidR="00684A5B">
        <w:t>µm for the 3mm diameter castings.</w:t>
      </w:r>
      <w:r w:rsidR="007C0C73">
        <w:t xml:space="preserve"> The reduction i</w:t>
      </w:r>
      <w:r w:rsidR="00F6768E">
        <w:t>n</w:t>
      </w:r>
      <w:r w:rsidR="007C0C73">
        <w:t xml:space="preserve"> dendrite arm spacing indicates a </w:t>
      </w:r>
      <w:r w:rsidR="007C0C73">
        <w:lastRenderedPageBreak/>
        <w:t>very significant change of cooling rate with decreasing diameter but further measurements are needed to calculate a SDAS-cooling rate relationship for this alloy system.</w:t>
      </w:r>
    </w:p>
    <w:p w14:paraId="5A2E2692" w14:textId="348B9D7C" w:rsidR="00DE7882" w:rsidRDefault="00563D84" w:rsidP="006C067F">
      <w:pPr>
        <w:keepNext/>
        <w:jc w:val="center"/>
      </w:pPr>
      <w:r w:rsidRPr="00563D84">
        <w:rPr>
          <w:noProof/>
        </w:rPr>
        <w:drawing>
          <wp:inline distT="0" distB="0" distL="0" distR="0" wp14:anchorId="1D8BAA34" wp14:editId="66D60B0C">
            <wp:extent cx="4730750" cy="3180316"/>
            <wp:effectExtent l="0" t="0" r="0" b="0"/>
            <wp:docPr id="23" name="Picture 23"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imeline&#10;&#10;Description automatically generated"/>
                    <pic:cNvPicPr/>
                  </pic:nvPicPr>
                  <pic:blipFill rotWithShape="1">
                    <a:blip r:embed="rId9"/>
                    <a:srcRect t="1639"/>
                    <a:stretch/>
                  </pic:blipFill>
                  <pic:spPr bwMode="auto">
                    <a:xfrm>
                      <a:off x="0" y="0"/>
                      <a:ext cx="4731026" cy="3180502"/>
                    </a:xfrm>
                    <a:prstGeom prst="rect">
                      <a:avLst/>
                    </a:prstGeom>
                    <a:ln>
                      <a:noFill/>
                    </a:ln>
                    <a:extLst>
                      <a:ext uri="{53640926-AAD7-44D8-BBD7-CCE9431645EC}">
                        <a14:shadowObscured xmlns:a14="http://schemas.microsoft.com/office/drawing/2010/main"/>
                      </a:ext>
                    </a:extLst>
                  </pic:spPr>
                </pic:pic>
              </a:graphicData>
            </a:graphic>
          </wp:inline>
        </w:drawing>
      </w:r>
    </w:p>
    <w:p w14:paraId="3150CFC9" w14:textId="654E54A7" w:rsidR="00D44DA2" w:rsidRDefault="00DE7882" w:rsidP="00DE7882">
      <w:pPr>
        <w:pStyle w:val="Caption"/>
        <w:jc w:val="center"/>
      </w:pPr>
      <w:bookmarkStart w:id="5" w:name="_Ref113635020"/>
      <w:r>
        <w:t xml:space="preserve">Figure </w:t>
      </w:r>
      <w:r w:rsidR="00000000">
        <w:fldChar w:fldCharType="begin"/>
      </w:r>
      <w:r w:rsidR="00000000">
        <w:instrText xml:space="preserve"> SEQ Figure \* ARABIC </w:instrText>
      </w:r>
      <w:r w:rsidR="00000000">
        <w:fldChar w:fldCharType="separate"/>
      </w:r>
      <w:r w:rsidR="00D276C6">
        <w:rPr>
          <w:noProof/>
        </w:rPr>
        <w:t>4</w:t>
      </w:r>
      <w:r w:rsidR="00000000">
        <w:rPr>
          <w:noProof/>
        </w:rPr>
        <w:fldChar w:fldCharType="end"/>
      </w:r>
      <w:bookmarkEnd w:id="5"/>
      <w:r>
        <w:t>: SEM/EDX images of TNT alloy samples showing secondary dendrite arm spacing(SDAS) of 3</w:t>
      </w:r>
      <w:r w:rsidR="004444BE">
        <w:t>mm</w:t>
      </w:r>
      <w:r>
        <w:t xml:space="preserve"> and 10mm samples and Nb, Ta segregation within the </w:t>
      </w:r>
      <w:r>
        <w:rPr>
          <w:noProof/>
        </w:rPr>
        <w:t>dendrites of a 10mm sample</w:t>
      </w:r>
    </w:p>
    <w:p w14:paraId="3FB7C84D" w14:textId="1D62AD1B" w:rsidR="00DE7882" w:rsidRDefault="007C0C73" w:rsidP="00516789">
      <w:pPr>
        <w:keepNext/>
        <w:spacing w:line="360" w:lineRule="auto"/>
      </w:pPr>
      <w:r>
        <w:t>The ED</w:t>
      </w:r>
      <w:r w:rsidR="00F6768E">
        <w:t>S</w:t>
      </w:r>
      <w:r>
        <w:t xml:space="preserve"> mapping shows clear segregation between the </w:t>
      </w:r>
      <w:r w:rsidR="00F6768E">
        <w:t>intra-</w:t>
      </w:r>
      <w:r>
        <w:t>dendritic and inter</w:t>
      </w:r>
      <w:r w:rsidR="00F6768E">
        <w:t>-</w:t>
      </w:r>
      <w:r>
        <w:t xml:space="preserve">dendritic regions. </w:t>
      </w:r>
      <w:r w:rsidR="00B4094F">
        <w:t xml:space="preserve">Higher segregation of </w:t>
      </w:r>
      <w:r w:rsidR="00F6768E">
        <w:t>Ta</w:t>
      </w:r>
      <w:r>
        <w:t xml:space="preserve"> than </w:t>
      </w:r>
      <w:r w:rsidR="00B4094F">
        <w:t>Nb is probably</w:t>
      </w:r>
      <w:r>
        <w:t xml:space="preserve"> due to a lower diffusion coefficient in </w:t>
      </w:r>
      <w:proofErr w:type="spellStart"/>
      <w:r w:rsidR="00B4094F">
        <w:t>Ti</w:t>
      </w:r>
      <w:proofErr w:type="spellEnd"/>
      <w:r>
        <w:t xml:space="preserve"> matrix. The difference in relative segregation in these elements may be related to the suppression of metastable phases such as β and ω. </w:t>
      </w:r>
      <w:r w:rsidR="00B4094F">
        <w:t xml:space="preserve">This is part of an on-going work where the effect of Ta additions on the phase transformation kinetics will be investigated. </w:t>
      </w:r>
    </w:p>
    <w:p w14:paraId="0A7D361F" w14:textId="44E30812" w:rsidR="007F0525" w:rsidRDefault="007F0525" w:rsidP="007F0525">
      <w:pPr>
        <w:pStyle w:val="Heading2"/>
      </w:pPr>
      <w:r>
        <w:t>Indentation testing</w:t>
      </w:r>
    </w:p>
    <w:p w14:paraId="7141CD8A" w14:textId="77777777" w:rsidR="00D276C6" w:rsidRDefault="00D276C6" w:rsidP="00D276C6">
      <w:pPr>
        <w:keepNext/>
        <w:jc w:val="center"/>
      </w:pPr>
      <w:r>
        <w:rPr>
          <w:noProof/>
        </w:rPr>
        <w:drawing>
          <wp:inline distT="0" distB="0" distL="0" distR="0" wp14:anchorId="0439B729" wp14:editId="209AC80A">
            <wp:extent cx="3302000" cy="2218690"/>
            <wp:effectExtent l="0" t="0" r="12700" b="10160"/>
            <wp:docPr id="20" name="Chart 20">
              <a:extLst xmlns:a="http://schemas.openxmlformats.org/drawingml/2006/main">
                <a:ext uri="{FF2B5EF4-FFF2-40B4-BE49-F238E27FC236}">
                  <a16:creationId xmlns:a16="http://schemas.microsoft.com/office/drawing/2014/main" id="{4E5ED60A-2D1E-3895-C076-964686AFFB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B064E26" w14:textId="0FEC57DE" w:rsidR="007F0525" w:rsidRDefault="00D276C6" w:rsidP="00D276C6">
      <w:pPr>
        <w:pStyle w:val="Caption"/>
        <w:jc w:val="center"/>
      </w:pPr>
      <w:bookmarkStart w:id="6" w:name="_Ref113637054"/>
      <w:r>
        <w:t xml:space="preserve">Figure </w:t>
      </w:r>
      <w:r w:rsidR="00000000">
        <w:fldChar w:fldCharType="begin"/>
      </w:r>
      <w:r w:rsidR="00000000">
        <w:instrText xml:space="preserve"> SEQ Figure \* ARABIC </w:instrText>
      </w:r>
      <w:r w:rsidR="00000000">
        <w:fldChar w:fldCharType="separate"/>
      </w:r>
      <w:r>
        <w:rPr>
          <w:noProof/>
        </w:rPr>
        <w:t>5</w:t>
      </w:r>
      <w:r w:rsidR="00000000">
        <w:rPr>
          <w:noProof/>
        </w:rPr>
        <w:fldChar w:fldCharType="end"/>
      </w:r>
      <w:bookmarkEnd w:id="6"/>
      <w:r>
        <w:t>: Vickers microhardness of TNT and TiNb samples</w:t>
      </w:r>
    </w:p>
    <w:p w14:paraId="55E59F08" w14:textId="27643BAE" w:rsidR="00516789" w:rsidRDefault="00516789" w:rsidP="00516789">
      <w:pPr>
        <w:spacing w:line="360" w:lineRule="auto"/>
      </w:pPr>
      <w:r>
        <w:t xml:space="preserve">Both Vickers microhardness and nanoindentation was performed on </w:t>
      </w:r>
      <w:r w:rsidR="00B4094F">
        <w:t xml:space="preserve">the </w:t>
      </w:r>
      <w:r>
        <w:t xml:space="preserve">samples. The hardness of the ternary vs binary alloys can be seen in </w:t>
      </w:r>
      <w:r>
        <w:fldChar w:fldCharType="begin"/>
      </w:r>
      <w:r>
        <w:instrText xml:space="preserve"> REF _Ref113637054 \h </w:instrText>
      </w:r>
      <w:r>
        <w:fldChar w:fldCharType="separate"/>
      </w:r>
      <w:r>
        <w:t xml:space="preserve">Figure </w:t>
      </w:r>
      <w:r>
        <w:rPr>
          <w:noProof/>
        </w:rPr>
        <w:t>5</w:t>
      </w:r>
      <w:r>
        <w:fldChar w:fldCharType="end"/>
      </w:r>
      <w:r>
        <w:t>. While the SDAS of these samples varie</w:t>
      </w:r>
      <w:r w:rsidR="00B4094F">
        <w:t>d</w:t>
      </w:r>
      <w:r>
        <w:t xml:space="preserve">, </w:t>
      </w:r>
      <w:r w:rsidR="00B4094F">
        <w:t>no significant</w:t>
      </w:r>
      <w:r>
        <w:t xml:space="preserve"> </w:t>
      </w:r>
      <w:r w:rsidR="00B4094F">
        <w:t xml:space="preserve">change in </w:t>
      </w:r>
      <w:r>
        <w:t>the hardness of the samples</w:t>
      </w:r>
      <w:r w:rsidR="00B4094F">
        <w:t xml:space="preserve"> were observed.</w:t>
      </w:r>
      <w:r>
        <w:t xml:space="preserve"> </w:t>
      </w:r>
      <w:r w:rsidR="00B4094F">
        <w:t xml:space="preserve">This is probably </w:t>
      </w:r>
      <w:r>
        <w:t xml:space="preserve">due to large grain sizes resulting in the indentations lying </w:t>
      </w:r>
      <w:r>
        <w:lastRenderedPageBreak/>
        <w:t xml:space="preserve">within a single grain. The addition of </w:t>
      </w:r>
      <w:r w:rsidR="00B4094F">
        <w:t>Ta</w:t>
      </w:r>
      <w:r>
        <w:t xml:space="preserve"> increased the microhardness by over 100 HV due to solid solution strengthening. </w:t>
      </w:r>
    </w:p>
    <w:p w14:paraId="6B9FCCE0" w14:textId="3E4EE0A6" w:rsidR="002D5FCB" w:rsidRDefault="002D5FCB" w:rsidP="00516789">
      <w:pPr>
        <w:spacing w:line="360" w:lineRule="auto"/>
      </w:pPr>
      <w:r>
        <w:t xml:space="preserve">Nanoindentation was also performed to measure the Young’s </w:t>
      </w:r>
      <w:r w:rsidR="009D0C6E">
        <w:t>m</w:t>
      </w:r>
      <w:r>
        <w:t>odulus of the TNT samples. The modulus did not appear to change depending on casting diameter, with a</w:t>
      </w:r>
      <w:r w:rsidR="00B4094F">
        <w:t>n average</w:t>
      </w:r>
      <w:r>
        <w:t xml:space="preserve"> value of 90.8GPa. </w:t>
      </w:r>
      <w:r w:rsidR="0024732C">
        <w:t>This</w:t>
      </w:r>
      <w:r w:rsidR="00F92A07">
        <w:t xml:space="preserve"> </w:t>
      </w:r>
      <w:r w:rsidR="0024732C">
        <w:t xml:space="preserve">finding </w:t>
      </w:r>
      <w:r w:rsidR="00F92A07">
        <w:t xml:space="preserve">is in line with similar works for this composition and thermal history. However, </w:t>
      </w:r>
      <w:r w:rsidR="0024732C">
        <w:t xml:space="preserve">it should be stated that </w:t>
      </w:r>
      <w:r w:rsidR="00F92A07">
        <w:t>t</w:t>
      </w:r>
      <w:r w:rsidR="009D0C6E">
        <w:t xml:space="preserve">his is not a modulus measurement of the bulk material, and as such is very sensitive to the individual phase measured. </w:t>
      </w:r>
    </w:p>
    <w:p w14:paraId="7D4A947D" w14:textId="6A481D7A" w:rsidR="00B21F3C" w:rsidRDefault="00B21F3C" w:rsidP="00674B42">
      <w:pPr>
        <w:pStyle w:val="Heading1"/>
      </w:pPr>
      <w:r w:rsidRPr="00936AD2">
        <w:t>Concl</w:t>
      </w:r>
      <w:r w:rsidR="00A72FBF" w:rsidRPr="00936AD2">
        <w:t>usions</w:t>
      </w:r>
    </w:p>
    <w:p w14:paraId="027C915B" w14:textId="7E82969C" w:rsidR="00051269" w:rsidRDefault="007E7E4A" w:rsidP="00516789">
      <w:pPr>
        <w:spacing w:line="360" w:lineRule="auto"/>
      </w:pPr>
      <w:r>
        <w:t>Based on the results of this work, the following conclusions can be drawn.</w:t>
      </w:r>
    </w:p>
    <w:p w14:paraId="72D8D608" w14:textId="64F896C1" w:rsidR="007E7E4A" w:rsidRDefault="00867F29" w:rsidP="00516789">
      <w:pPr>
        <w:pStyle w:val="ListParagraph"/>
        <w:numPr>
          <w:ilvl w:val="0"/>
          <w:numId w:val="1"/>
        </w:numPr>
        <w:spacing w:line="360" w:lineRule="auto"/>
      </w:pPr>
      <w:r w:rsidRPr="00867F29">
        <w:t xml:space="preserve">The method of producing rapidly solidified castings was investigated and verified for this alloy system, novel compositions </w:t>
      </w:r>
      <w:r>
        <w:t>varied</w:t>
      </w:r>
      <w:r w:rsidRPr="00867F29">
        <w:t xml:space="preserve"> </w:t>
      </w:r>
      <w:r w:rsidR="005A0E04">
        <w:t xml:space="preserve">and high </w:t>
      </w:r>
      <w:r w:rsidRPr="00867F29">
        <w:t>cooling rates can be easily produced in short timeframes from low-cost feedstock</w:t>
      </w:r>
      <w:r w:rsidR="005A0E04">
        <w:t xml:space="preserve">. </w:t>
      </w:r>
      <w:r w:rsidR="0024732C">
        <w:t>This methodology has</w:t>
      </w:r>
      <w:r w:rsidR="005A0E04">
        <w:t xml:space="preserve"> the potential </w:t>
      </w:r>
      <w:r w:rsidR="0024732C">
        <w:t xml:space="preserve">to be used as a guideline for the development of novel </w:t>
      </w:r>
      <w:proofErr w:type="spellStart"/>
      <w:r w:rsidR="0024732C">
        <w:t>Ti</w:t>
      </w:r>
      <w:proofErr w:type="spellEnd"/>
      <w:r w:rsidR="0024732C">
        <w:t>-based compositions compatible with</w:t>
      </w:r>
      <w:r w:rsidR="005A0E04">
        <w:t xml:space="preserve"> additive manufactur</w:t>
      </w:r>
      <w:r w:rsidR="0024732C">
        <w:t>ing process</w:t>
      </w:r>
      <w:r w:rsidR="005A0E04">
        <w:t>.</w:t>
      </w:r>
    </w:p>
    <w:p w14:paraId="7C2E01E1" w14:textId="2B2D70E8" w:rsidR="00867F29" w:rsidRDefault="00867F29" w:rsidP="00516789">
      <w:pPr>
        <w:pStyle w:val="ListParagraph"/>
        <w:numPr>
          <w:ilvl w:val="0"/>
          <w:numId w:val="1"/>
        </w:numPr>
        <w:spacing w:line="360" w:lineRule="auto"/>
      </w:pPr>
      <w:r w:rsidRPr="00867F29">
        <w:t>Rapid solidification casting of these alloy compositions was performed for the first time and showed very promising results in terms of segregation and alloy homogeneity.</w:t>
      </w:r>
    </w:p>
    <w:p w14:paraId="0951315A" w14:textId="316BE9BD" w:rsidR="00867F29" w:rsidRDefault="00867F29" w:rsidP="00516789">
      <w:pPr>
        <w:pStyle w:val="ListParagraph"/>
        <w:numPr>
          <w:ilvl w:val="0"/>
          <w:numId w:val="1"/>
        </w:numPr>
        <w:spacing w:line="360" w:lineRule="auto"/>
      </w:pPr>
      <w:r>
        <w:t>The phase evolution of these compositions (Ti-25Nb, Ti-20Nb-10Ta) were shown to match very closely at lower cooling rates, but deviate as additional metastable phases became favourable with very high cooling rates, in particular, the β- and ω-</w:t>
      </w:r>
      <w:r w:rsidR="006C62BE">
        <w:t xml:space="preserve"> </w:t>
      </w:r>
      <w:r>
        <w:t>phase</w:t>
      </w:r>
      <w:r w:rsidR="006C62BE">
        <w:t>s</w:t>
      </w:r>
      <w:r>
        <w:t xml:space="preserve"> appeared </w:t>
      </w:r>
      <w:r w:rsidR="006C62BE">
        <w:t xml:space="preserve">to be </w:t>
      </w:r>
      <w:r>
        <w:t>suppressed by the ternary alloy addition.</w:t>
      </w:r>
    </w:p>
    <w:p w14:paraId="771727A8" w14:textId="0B1A2127" w:rsidR="00A3605B" w:rsidRDefault="00516789" w:rsidP="00A3605B">
      <w:pPr>
        <w:rPr>
          <w:b/>
          <w:bCs/>
        </w:rPr>
      </w:pPr>
      <w:r w:rsidRPr="00516789">
        <w:rPr>
          <w:b/>
          <w:bCs/>
        </w:rPr>
        <w:t xml:space="preserve">Acknowledgements </w:t>
      </w:r>
    </w:p>
    <w:p w14:paraId="0476972F" w14:textId="4376DBC7" w:rsidR="00516789" w:rsidRPr="004329D1" w:rsidRDefault="004329D1" w:rsidP="00B41B9F">
      <w:pPr>
        <w:spacing w:line="360" w:lineRule="auto"/>
      </w:pPr>
      <w:r>
        <w:t>This research was co-funded by the Science Foundation Ireland (SFI) and Stryker through</w:t>
      </w:r>
      <w:r>
        <w:t xml:space="preserve"> </w:t>
      </w:r>
      <w:r>
        <w:t>I-Form, the SFI Research Centre for Advanced Manufacturing, and the Advanced Metallic Systems</w:t>
      </w:r>
      <w:r>
        <w:t xml:space="preserve"> </w:t>
      </w:r>
      <w:r>
        <w:t>Centre for Doctorial Training (AMS–CDT).</w:t>
      </w:r>
      <w:r w:rsidR="00516789" w:rsidRPr="00516789">
        <w:t>This publication has emanated from research conducted with the financial support of Science Foundation Ireland under Grant Number 16/RC/3872. For the purpose of Open Access, the author has applied a CC BY public copyright license to any Author Accepted Manuscript version arising from this submission.</w:t>
      </w:r>
      <w:r>
        <w:t xml:space="preserve"> </w:t>
      </w:r>
    </w:p>
    <w:p w14:paraId="516D4C11" w14:textId="4F03A6C2" w:rsidR="00A3605B" w:rsidRDefault="00A3605B" w:rsidP="00A3605B">
      <w:pPr>
        <w:pStyle w:val="Heading1"/>
      </w:pPr>
      <w:r>
        <w:t>References</w:t>
      </w:r>
    </w:p>
    <w:p w14:paraId="1DEDDED5" w14:textId="77777777" w:rsidR="00B62EF1" w:rsidRDefault="00B62EF1" w:rsidP="00B62EF1">
      <w:pPr>
        <w:autoSpaceDE w:val="0"/>
        <w:autoSpaceDN w:val="0"/>
        <w:divId w:val="150291511"/>
      </w:pPr>
    </w:p>
    <w:p w14:paraId="38446045" w14:textId="0280AB48" w:rsidR="00B62EF1" w:rsidRDefault="00B62EF1" w:rsidP="00B62EF1">
      <w:pPr>
        <w:autoSpaceDE w:val="0"/>
        <w:autoSpaceDN w:val="0"/>
        <w:ind w:hanging="658"/>
        <w:divId w:val="150291511"/>
        <w:rPr>
          <w:rFonts w:eastAsia="Times New Roman"/>
        </w:rPr>
      </w:pPr>
      <w:r>
        <w:rPr>
          <w:rFonts w:eastAsia="Times New Roman"/>
        </w:rPr>
        <w:t xml:space="preserve">[1]     </w:t>
      </w:r>
      <w:r w:rsidRPr="00B62EF1">
        <w:rPr>
          <w:rFonts w:eastAsia="Times New Roman"/>
        </w:rPr>
        <w:t xml:space="preserve">F.R. </w:t>
      </w:r>
      <w:proofErr w:type="spellStart"/>
      <w:r w:rsidRPr="00B62EF1">
        <w:rPr>
          <w:rFonts w:eastAsia="Times New Roman"/>
        </w:rPr>
        <w:t>Kaschel</w:t>
      </w:r>
      <w:proofErr w:type="spellEnd"/>
      <w:r w:rsidRPr="00B62EF1">
        <w:rPr>
          <w:rFonts w:eastAsia="Times New Roman"/>
        </w:rPr>
        <w:t xml:space="preserve">, M. </w:t>
      </w:r>
      <w:proofErr w:type="spellStart"/>
      <w:r w:rsidRPr="00B62EF1">
        <w:rPr>
          <w:rFonts w:eastAsia="Times New Roman"/>
        </w:rPr>
        <w:t>Celikin</w:t>
      </w:r>
      <w:proofErr w:type="spellEnd"/>
      <w:r w:rsidRPr="00B62EF1">
        <w:rPr>
          <w:rFonts w:eastAsia="Times New Roman"/>
        </w:rPr>
        <w:t>, D.P. Dowling, ‘Effects of Laser Power on Geometry, Microstructure and Mechanical Properties of Printed Ti-6Al-4V Parts’, Journal of Materials Processing Technology, v. 278, 116539, 2020</w:t>
      </w:r>
    </w:p>
    <w:p w14:paraId="491A8F6A" w14:textId="1F73CB20" w:rsidR="00A3605B" w:rsidRDefault="00A3605B">
      <w:pPr>
        <w:autoSpaceDE w:val="0"/>
        <w:autoSpaceDN w:val="0"/>
        <w:ind w:hanging="640"/>
        <w:divId w:val="150291511"/>
        <w:rPr>
          <w:rFonts w:eastAsia="Times New Roman"/>
          <w:sz w:val="24"/>
          <w:szCs w:val="24"/>
        </w:rPr>
      </w:pPr>
      <w:r>
        <w:rPr>
          <w:rFonts w:eastAsia="Times New Roman"/>
        </w:rPr>
        <w:t>[</w:t>
      </w:r>
      <w:r w:rsidR="00B62EF1">
        <w:rPr>
          <w:rFonts w:eastAsia="Times New Roman"/>
        </w:rPr>
        <w:t>2</w:t>
      </w:r>
      <w:r>
        <w:rPr>
          <w:rFonts w:eastAsia="Times New Roman"/>
        </w:rPr>
        <w:t>]</w:t>
      </w:r>
      <w:r>
        <w:rPr>
          <w:rFonts w:eastAsia="Times New Roman"/>
        </w:rPr>
        <w:tab/>
        <w:t xml:space="preserve">M. Geetha, A. K. Singh, R. </w:t>
      </w:r>
      <w:proofErr w:type="spellStart"/>
      <w:r>
        <w:rPr>
          <w:rFonts w:eastAsia="Times New Roman"/>
        </w:rPr>
        <w:t>Asokamani</w:t>
      </w:r>
      <w:proofErr w:type="spellEnd"/>
      <w:r>
        <w:rPr>
          <w:rFonts w:eastAsia="Times New Roman"/>
        </w:rPr>
        <w:t xml:space="preserve">, and A. K. </w:t>
      </w:r>
      <w:proofErr w:type="spellStart"/>
      <w:r>
        <w:rPr>
          <w:rFonts w:eastAsia="Times New Roman"/>
        </w:rPr>
        <w:t>Gogia</w:t>
      </w:r>
      <w:proofErr w:type="spellEnd"/>
      <w:r>
        <w:rPr>
          <w:rFonts w:eastAsia="Times New Roman"/>
        </w:rPr>
        <w:t>, “</w:t>
      </w:r>
      <w:proofErr w:type="spellStart"/>
      <w:r>
        <w:rPr>
          <w:rFonts w:eastAsia="Times New Roman"/>
        </w:rPr>
        <w:t>Ti</w:t>
      </w:r>
      <w:proofErr w:type="spellEnd"/>
      <w:r>
        <w:rPr>
          <w:rFonts w:eastAsia="Times New Roman"/>
        </w:rPr>
        <w:t xml:space="preserve"> based biomaterials, the ultimate choice for orthopaedic implants – A review,” </w:t>
      </w:r>
      <w:r>
        <w:rPr>
          <w:rFonts w:eastAsia="Times New Roman"/>
          <w:i/>
          <w:iCs/>
        </w:rPr>
        <w:t>Prog Mater Sci</w:t>
      </w:r>
      <w:r>
        <w:rPr>
          <w:rFonts w:eastAsia="Times New Roman"/>
        </w:rPr>
        <w:t xml:space="preserve">, vol. 54, no. 3, pp. 397–425, May 2009, </w:t>
      </w:r>
      <w:proofErr w:type="spellStart"/>
      <w:r>
        <w:rPr>
          <w:rFonts w:eastAsia="Times New Roman"/>
        </w:rPr>
        <w:t>doi</w:t>
      </w:r>
      <w:proofErr w:type="spellEnd"/>
      <w:r>
        <w:rPr>
          <w:rFonts w:eastAsia="Times New Roman"/>
        </w:rPr>
        <w:t>: 10.1016/J.PMATSCI.2008.06.004.</w:t>
      </w:r>
    </w:p>
    <w:p w14:paraId="1AFCB412" w14:textId="0682EB87" w:rsidR="00A3605B" w:rsidRDefault="00A3605B">
      <w:pPr>
        <w:autoSpaceDE w:val="0"/>
        <w:autoSpaceDN w:val="0"/>
        <w:ind w:hanging="640"/>
        <w:divId w:val="139153190"/>
        <w:rPr>
          <w:rFonts w:eastAsia="Times New Roman"/>
        </w:rPr>
      </w:pPr>
      <w:r>
        <w:rPr>
          <w:rFonts w:eastAsia="Times New Roman"/>
        </w:rPr>
        <w:t>[</w:t>
      </w:r>
      <w:r w:rsidR="00B62EF1">
        <w:rPr>
          <w:rFonts w:eastAsia="Times New Roman"/>
        </w:rPr>
        <w:t>3</w:t>
      </w:r>
      <w:r>
        <w:rPr>
          <w:rFonts w:eastAsia="Times New Roman"/>
        </w:rPr>
        <w:t>]</w:t>
      </w:r>
      <w:r>
        <w:rPr>
          <w:rFonts w:eastAsia="Times New Roman"/>
        </w:rPr>
        <w:tab/>
        <w:t xml:space="preserve">R. L. </w:t>
      </w:r>
      <w:proofErr w:type="spellStart"/>
      <w:r>
        <w:rPr>
          <w:rFonts w:eastAsia="Times New Roman"/>
        </w:rPr>
        <w:t>Buly</w:t>
      </w:r>
      <w:proofErr w:type="spellEnd"/>
      <w:r>
        <w:rPr>
          <w:rFonts w:eastAsia="Times New Roman"/>
        </w:rPr>
        <w:t xml:space="preserve">, M. H. </w:t>
      </w:r>
      <w:proofErr w:type="spellStart"/>
      <w:r>
        <w:rPr>
          <w:rFonts w:eastAsia="Times New Roman"/>
        </w:rPr>
        <w:t>Huo</w:t>
      </w:r>
      <w:proofErr w:type="spellEnd"/>
      <w:r>
        <w:rPr>
          <w:rFonts w:eastAsia="Times New Roman"/>
        </w:rPr>
        <w:t xml:space="preserve">, E. </w:t>
      </w:r>
      <w:proofErr w:type="spellStart"/>
      <w:r>
        <w:rPr>
          <w:rFonts w:eastAsia="Times New Roman"/>
        </w:rPr>
        <w:t>Salvati</w:t>
      </w:r>
      <w:proofErr w:type="spellEnd"/>
      <w:r>
        <w:rPr>
          <w:rFonts w:eastAsia="Times New Roman"/>
        </w:rPr>
        <w:t xml:space="preserve">, W. Brien, and M. Bansal, “Titanium wear debris in failed cemented total hip arthroplasty: An analysis of 71 cases,” </w:t>
      </w:r>
      <w:r>
        <w:rPr>
          <w:rFonts w:eastAsia="Times New Roman"/>
          <w:i/>
          <w:iCs/>
        </w:rPr>
        <w:t>J Arthroplasty</w:t>
      </w:r>
      <w:r>
        <w:rPr>
          <w:rFonts w:eastAsia="Times New Roman"/>
        </w:rPr>
        <w:t xml:space="preserve">, vol. 7, no. 3, pp. 315–323, Sep. 1992, </w:t>
      </w:r>
      <w:proofErr w:type="spellStart"/>
      <w:r>
        <w:rPr>
          <w:rFonts w:eastAsia="Times New Roman"/>
        </w:rPr>
        <w:t>doi</w:t>
      </w:r>
      <w:proofErr w:type="spellEnd"/>
      <w:r>
        <w:rPr>
          <w:rFonts w:eastAsia="Times New Roman"/>
        </w:rPr>
        <w:t>: 10.1016/0883-5403(92)90056-V.</w:t>
      </w:r>
    </w:p>
    <w:p w14:paraId="6B94D2DB" w14:textId="713F09CC" w:rsidR="00A3605B" w:rsidRDefault="00A3605B">
      <w:pPr>
        <w:autoSpaceDE w:val="0"/>
        <w:autoSpaceDN w:val="0"/>
        <w:ind w:hanging="640"/>
        <w:divId w:val="368846404"/>
        <w:rPr>
          <w:rFonts w:eastAsia="Times New Roman"/>
        </w:rPr>
      </w:pPr>
      <w:r>
        <w:rPr>
          <w:rFonts w:eastAsia="Times New Roman"/>
        </w:rPr>
        <w:t>[</w:t>
      </w:r>
      <w:r w:rsidR="00B62EF1">
        <w:rPr>
          <w:rFonts w:eastAsia="Times New Roman"/>
        </w:rPr>
        <w:t>4</w:t>
      </w:r>
      <w:r>
        <w:rPr>
          <w:rFonts w:eastAsia="Times New Roman"/>
        </w:rPr>
        <w:t>]</w:t>
      </w:r>
      <w:r>
        <w:rPr>
          <w:rFonts w:eastAsia="Times New Roman"/>
        </w:rPr>
        <w:tab/>
        <w:t xml:space="preserve">A. </w:t>
      </w:r>
      <w:proofErr w:type="spellStart"/>
      <w:r>
        <w:rPr>
          <w:rFonts w:eastAsia="Times New Roman"/>
        </w:rPr>
        <w:t>Biesiekierski</w:t>
      </w:r>
      <w:proofErr w:type="spellEnd"/>
      <w:r>
        <w:rPr>
          <w:rFonts w:eastAsia="Times New Roman"/>
        </w:rPr>
        <w:t xml:space="preserve">, J. Wang, M. Abdel-Hady </w:t>
      </w:r>
      <w:proofErr w:type="spellStart"/>
      <w:r>
        <w:rPr>
          <w:rFonts w:eastAsia="Times New Roman"/>
        </w:rPr>
        <w:t>Gepreel</w:t>
      </w:r>
      <w:proofErr w:type="spellEnd"/>
      <w:r>
        <w:rPr>
          <w:rFonts w:eastAsia="Times New Roman"/>
        </w:rPr>
        <w:t xml:space="preserve">, and C. Wen, “A new look at biomedical </w:t>
      </w:r>
      <w:proofErr w:type="spellStart"/>
      <w:r>
        <w:rPr>
          <w:rFonts w:eastAsia="Times New Roman"/>
        </w:rPr>
        <w:t>Ti</w:t>
      </w:r>
      <w:proofErr w:type="spellEnd"/>
      <w:r>
        <w:rPr>
          <w:rFonts w:eastAsia="Times New Roman"/>
        </w:rPr>
        <w:t xml:space="preserve">-based shape memory alloys,” </w:t>
      </w:r>
      <w:r>
        <w:rPr>
          <w:rFonts w:eastAsia="Times New Roman"/>
          <w:i/>
          <w:iCs/>
        </w:rPr>
        <w:t xml:space="preserve">Acta </w:t>
      </w:r>
      <w:proofErr w:type="spellStart"/>
      <w:r>
        <w:rPr>
          <w:rFonts w:eastAsia="Times New Roman"/>
          <w:i/>
          <w:iCs/>
        </w:rPr>
        <w:t>Biomater</w:t>
      </w:r>
      <w:proofErr w:type="spellEnd"/>
      <w:r>
        <w:rPr>
          <w:rFonts w:eastAsia="Times New Roman"/>
        </w:rPr>
        <w:t xml:space="preserve">, vol. 8, no. 5, pp. 1661–1669, May 2012, </w:t>
      </w:r>
      <w:proofErr w:type="spellStart"/>
      <w:r>
        <w:rPr>
          <w:rFonts w:eastAsia="Times New Roman"/>
        </w:rPr>
        <w:t>doi</w:t>
      </w:r>
      <w:proofErr w:type="spellEnd"/>
      <w:r>
        <w:rPr>
          <w:rFonts w:eastAsia="Times New Roman"/>
        </w:rPr>
        <w:t>: 10.1016/J.ACTBIO.2012.01.018.</w:t>
      </w:r>
    </w:p>
    <w:p w14:paraId="4769FDDD" w14:textId="1C76ECEA" w:rsidR="00A3605B" w:rsidRDefault="00A3605B">
      <w:pPr>
        <w:autoSpaceDE w:val="0"/>
        <w:autoSpaceDN w:val="0"/>
        <w:ind w:hanging="640"/>
        <w:divId w:val="341783212"/>
        <w:rPr>
          <w:rFonts w:eastAsia="Times New Roman"/>
        </w:rPr>
      </w:pPr>
      <w:r>
        <w:rPr>
          <w:rFonts w:eastAsia="Times New Roman"/>
        </w:rPr>
        <w:lastRenderedPageBreak/>
        <w:t>[</w:t>
      </w:r>
      <w:r w:rsidR="00B62EF1">
        <w:rPr>
          <w:rFonts w:eastAsia="Times New Roman"/>
        </w:rPr>
        <w:t>5</w:t>
      </w:r>
      <w:r>
        <w:rPr>
          <w:rFonts w:eastAsia="Times New Roman"/>
        </w:rPr>
        <w:t>]</w:t>
      </w:r>
      <w:r>
        <w:rPr>
          <w:rFonts w:eastAsia="Times New Roman"/>
        </w:rPr>
        <w:tab/>
        <w:t xml:space="preserve">I. v. </w:t>
      </w:r>
      <w:proofErr w:type="spellStart"/>
      <w:r>
        <w:rPr>
          <w:rFonts w:eastAsia="Times New Roman"/>
        </w:rPr>
        <w:t>Okulov</w:t>
      </w:r>
      <w:proofErr w:type="spellEnd"/>
      <w:r>
        <w:rPr>
          <w:rFonts w:eastAsia="Times New Roman"/>
        </w:rPr>
        <w:t xml:space="preserve"> </w:t>
      </w:r>
      <w:r>
        <w:rPr>
          <w:rFonts w:eastAsia="Times New Roman"/>
          <w:i/>
          <w:iCs/>
        </w:rPr>
        <w:t>et al.</w:t>
      </w:r>
      <w:r>
        <w:rPr>
          <w:rFonts w:eastAsia="Times New Roman"/>
        </w:rPr>
        <w:t xml:space="preserve">, “Composition optimization of low modulus and high-strength TiNb-based alloys for biomedical applications,” </w:t>
      </w:r>
      <w:r>
        <w:rPr>
          <w:rFonts w:eastAsia="Times New Roman"/>
          <w:i/>
          <w:iCs/>
        </w:rPr>
        <w:t xml:space="preserve">J Mech </w:t>
      </w:r>
      <w:proofErr w:type="spellStart"/>
      <w:r>
        <w:rPr>
          <w:rFonts w:eastAsia="Times New Roman"/>
          <w:i/>
          <w:iCs/>
        </w:rPr>
        <w:t>Behav</w:t>
      </w:r>
      <w:proofErr w:type="spellEnd"/>
      <w:r>
        <w:rPr>
          <w:rFonts w:eastAsia="Times New Roman"/>
          <w:i/>
          <w:iCs/>
        </w:rPr>
        <w:t xml:space="preserve"> Biomed Mater</w:t>
      </w:r>
      <w:r>
        <w:rPr>
          <w:rFonts w:eastAsia="Times New Roman"/>
        </w:rPr>
        <w:t xml:space="preserve">, vol. 65, pp. 866–871, Jan. 2017, </w:t>
      </w:r>
      <w:proofErr w:type="spellStart"/>
      <w:r>
        <w:rPr>
          <w:rFonts w:eastAsia="Times New Roman"/>
        </w:rPr>
        <w:t>doi</w:t>
      </w:r>
      <w:proofErr w:type="spellEnd"/>
      <w:r>
        <w:rPr>
          <w:rFonts w:eastAsia="Times New Roman"/>
        </w:rPr>
        <w:t>: 10.1016/J.JMBBM.2016.10.013.</w:t>
      </w:r>
    </w:p>
    <w:p w14:paraId="483CED1D" w14:textId="5079D530" w:rsidR="00A3605B" w:rsidRDefault="00A3605B">
      <w:pPr>
        <w:autoSpaceDE w:val="0"/>
        <w:autoSpaceDN w:val="0"/>
        <w:ind w:hanging="640"/>
        <w:divId w:val="2015765264"/>
        <w:rPr>
          <w:rFonts w:eastAsia="Times New Roman"/>
        </w:rPr>
      </w:pPr>
      <w:r>
        <w:rPr>
          <w:rFonts w:eastAsia="Times New Roman"/>
        </w:rPr>
        <w:t>[</w:t>
      </w:r>
      <w:r w:rsidR="00B62EF1">
        <w:rPr>
          <w:rFonts w:eastAsia="Times New Roman"/>
        </w:rPr>
        <w:t>6</w:t>
      </w:r>
      <w:r>
        <w:rPr>
          <w:rFonts w:eastAsia="Times New Roman"/>
        </w:rPr>
        <w:t>]</w:t>
      </w:r>
      <w:r>
        <w:rPr>
          <w:rFonts w:eastAsia="Times New Roman"/>
        </w:rPr>
        <w:tab/>
        <w:t xml:space="preserve">F. Sun, Y. L. Hao, S. Nowak, T. </w:t>
      </w:r>
      <w:proofErr w:type="spellStart"/>
      <w:r>
        <w:rPr>
          <w:rFonts w:eastAsia="Times New Roman"/>
        </w:rPr>
        <w:t>Gloriant</w:t>
      </w:r>
      <w:proofErr w:type="spellEnd"/>
      <w:r>
        <w:rPr>
          <w:rFonts w:eastAsia="Times New Roman"/>
        </w:rPr>
        <w:t xml:space="preserve">, P. </w:t>
      </w:r>
      <w:proofErr w:type="spellStart"/>
      <w:r>
        <w:rPr>
          <w:rFonts w:eastAsia="Times New Roman"/>
        </w:rPr>
        <w:t>Laheurte</w:t>
      </w:r>
      <w:proofErr w:type="spellEnd"/>
      <w:r>
        <w:rPr>
          <w:rFonts w:eastAsia="Times New Roman"/>
        </w:rPr>
        <w:t xml:space="preserve">, and F. Prima, “A thermo-mechanical treatment to improve the </w:t>
      </w:r>
      <w:proofErr w:type="spellStart"/>
      <w:r>
        <w:rPr>
          <w:rFonts w:eastAsia="Times New Roman"/>
        </w:rPr>
        <w:t>superelastic</w:t>
      </w:r>
      <w:proofErr w:type="spellEnd"/>
      <w:r>
        <w:rPr>
          <w:rFonts w:eastAsia="Times New Roman"/>
        </w:rPr>
        <w:t xml:space="preserve"> performances of biomedical Ti-26Nb and Ti-20Nb-6Zr (at.%) alloys,” </w:t>
      </w:r>
      <w:r>
        <w:rPr>
          <w:rFonts w:eastAsia="Times New Roman"/>
          <w:i/>
          <w:iCs/>
        </w:rPr>
        <w:t xml:space="preserve">J Mech </w:t>
      </w:r>
      <w:proofErr w:type="spellStart"/>
      <w:r>
        <w:rPr>
          <w:rFonts w:eastAsia="Times New Roman"/>
          <w:i/>
          <w:iCs/>
        </w:rPr>
        <w:t>Behav</w:t>
      </w:r>
      <w:proofErr w:type="spellEnd"/>
      <w:r>
        <w:rPr>
          <w:rFonts w:eastAsia="Times New Roman"/>
          <w:i/>
          <w:iCs/>
        </w:rPr>
        <w:t xml:space="preserve"> Biomed Mater</w:t>
      </w:r>
      <w:r>
        <w:rPr>
          <w:rFonts w:eastAsia="Times New Roman"/>
        </w:rPr>
        <w:t xml:space="preserve">, vol. 4, no. 8, pp. 1864–1872, Nov. 2011, </w:t>
      </w:r>
      <w:proofErr w:type="spellStart"/>
      <w:r>
        <w:rPr>
          <w:rFonts w:eastAsia="Times New Roman"/>
        </w:rPr>
        <w:t>doi</w:t>
      </w:r>
      <w:proofErr w:type="spellEnd"/>
      <w:r>
        <w:rPr>
          <w:rFonts w:eastAsia="Times New Roman"/>
        </w:rPr>
        <w:t>: 10.1016/J.JMBBM.2011.06.003.</w:t>
      </w:r>
    </w:p>
    <w:p w14:paraId="6461459A" w14:textId="77079BAE" w:rsidR="00A3605B" w:rsidRDefault="00A3605B">
      <w:pPr>
        <w:autoSpaceDE w:val="0"/>
        <w:autoSpaceDN w:val="0"/>
        <w:ind w:hanging="640"/>
        <w:divId w:val="1052341569"/>
        <w:rPr>
          <w:rFonts w:eastAsia="Times New Roman"/>
        </w:rPr>
      </w:pPr>
      <w:r>
        <w:rPr>
          <w:rFonts w:eastAsia="Times New Roman"/>
        </w:rPr>
        <w:t>[</w:t>
      </w:r>
      <w:r w:rsidR="00B62EF1">
        <w:rPr>
          <w:rFonts w:eastAsia="Times New Roman"/>
        </w:rPr>
        <w:t>7</w:t>
      </w:r>
      <w:r>
        <w:rPr>
          <w:rFonts w:eastAsia="Times New Roman"/>
        </w:rPr>
        <w:t>]</w:t>
      </w:r>
      <w:r>
        <w:rPr>
          <w:rFonts w:eastAsia="Times New Roman"/>
        </w:rPr>
        <w:tab/>
        <w:t xml:space="preserve">S. Miyazaki, H. Kim, and H. Hosoda, “Development and characterization of Ni-free </w:t>
      </w:r>
      <w:proofErr w:type="spellStart"/>
      <w:r>
        <w:rPr>
          <w:rFonts w:eastAsia="Times New Roman"/>
        </w:rPr>
        <w:t>Ti</w:t>
      </w:r>
      <w:proofErr w:type="spellEnd"/>
      <w:r>
        <w:rPr>
          <w:rFonts w:eastAsia="Times New Roman"/>
        </w:rPr>
        <w:t xml:space="preserve">-base shape memory and </w:t>
      </w:r>
      <w:proofErr w:type="spellStart"/>
      <w:r>
        <w:rPr>
          <w:rFonts w:eastAsia="Times New Roman"/>
        </w:rPr>
        <w:t>superelastic</w:t>
      </w:r>
      <w:proofErr w:type="spellEnd"/>
      <w:r>
        <w:rPr>
          <w:rFonts w:eastAsia="Times New Roman"/>
        </w:rPr>
        <w:t xml:space="preserve"> alloys,” </w:t>
      </w:r>
      <w:r>
        <w:rPr>
          <w:rFonts w:eastAsia="Times New Roman"/>
          <w:i/>
          <w:iCs/>
        </w:rPr>
        <w:t>Materials Science and Engineering A</w:t>
      </w:r>
      <w:r>
        <w:rPr>
          <w:rFonts w:eastAsia="Times New Roman"/>
        </w:rPr>
        <w:t xml:space="preserve">, vol. 438, no. 440, pp. 18–24, 2006, </w:t>
      </w:r>
      <w:proofErr w:type="spellStart"/>
      <w:r>
        <w:rPr>
          <w:rFonts w:eastAsia="Times New Roman"/>
        </w:rPr>
        <w:t>doi</w:t>
      </w:r>
      <w:proofErr w:type="spellEnd"/>
      <w:r>
        <w:rPr>
          <w:rFonts w:eastAsia="Times New Roman"/>
        </w:rPr>
        <w:t>: 10.1016/j.msea.2006.02.054.</w:t>
      </w:r>
    </w:p>
    <w:p w14:paraId="02B81D82" w14:textId="7985F0E9" w:rsidR="00A3605B" w:rsidRDefault="00A3605B">
      <w:pPr>
        <w:autoSpaceDE w:val="0"/>
        <w:autoSpaceDN w:val="0"/>
        <w:ind w:hanging="640"/>
        <w:divId w:val="1858537263"/>
        <w:rPr>
          <w:rFonts w:eastAsia="Times New Roman"/>
        </w:rPr>
      </w:pPr>
      <w:r>
        <w:rPr>
          <w:rFonts w:eastAsia="Times New Roman"/>
        </w:rPr>
        <w:t>[</w:t>
      </w:r>
      <w:r w:rsidR="00B62EF1">
        <w:rPr>
          <w:rFonts w:eastAsia="Times New Roman"/>
        </w:rPr>
        <w:t>8</w:t>
      </w:r>
      <w:r>
        <w:rPr>
          <w:rFonts w:eastAsia="Times New Roman"/>
        </w:rPr>
        <w:t>]</w:t>
      </w:r>
      <w:r>
        <w:rPr>
          <w:rFonts w:eastAsia="Times New Roman"/>
        </w:rPr>
        <w:tab/>
        <w:t xml:space="preserve">S. S. Sidhu, H. Singh, and M. A. H. </w:t>
      </w:r>
      <w:proofErr w:type="spellStart"/>
      <w:r>
        <w:rPr>
          <w:rFonts w:eastAsia="Times New Roman"/>
        </w:rPr>
        <w:t>Gepreel</w:t>
      </w:r>
      <w:proofErr w:type="spellEnd"/>
      <w:r>
        <w:rPr>
          <w:rFonts w:eastAsia="Times New Roman"/>
        </w:rPr>
        <w:t xml:space="preserve">, “A review on alloy design, biological response, and strengthening of β-titanium alloys as biomaterials,” </w:t>
      </w:r>
      <w:r>
        <w:rPr>
          <w:rFonts w:eastAsia="Times New Roman"/>
          <w:i/>
          <w:iCs/>
        </w:rPr>
        <w:t>Materials Science and Engineering: C</w:t>
      </w:r>
      <w:r>
        <w:rPr>
          <w:rFonts w:eastAsia="Times New Roman"/>
        </w:rPr>
        <w:t xml:space="preserve">, vol. 121, p. 111661, Feb. 2021, </w:t>
      </w:r>
      <w:proofErr w:type="spellStart"/>
      <w:r>
        <w:rPr>
          <w:rFonts w:eastAsia="Times New Roman"/>
        </w:rPr>
        <w:t>doi</w:t>
      </w:r>
      <w:proofErr w:type="spellEnd"/>
      <w:r>
        <w:rPr>
          <w:rFonts w:eastAsia="Times New Roman"/>
        </w:rPr>
        <w:t>: 10.1016/J.MSEC.2020.111661.</w:t>
      </w:r>
    </w:p>
    <w:p w14:paraId="6C50C1AA" w14:textId="74714B2A" w:rsidR="00A3605B" w:rsidRDefault="00A3605B">
      <w:pPr>
        <w:autoSpaceDE w:val="0"/>
        <w:autoSpaceDN w:val="0"/>
        <w:ind w:hanging="640"/>
        <w:divId w:val="660668659"/>
        <w:rPr>
          <w:rFonts w:eastAsia="Times New Roman"/>
        </w:rPr>
      </w:pPr>
      <w:r>
        <w:rPr>
          <w:rFonts w:eastAsia="Times New Roman"/>
        </w:rPr>
        <w:t>[</w:t>
      </w:r>
      <w:r w:rsidR="00B62EF1">
        <w:rPr>
          <w:rFonts w:eastAsia="Times New Roman"/>
        </w:rPr>
        <w:t>9</w:t>
      </w:r>
      <w:r>
        <w:rPr>
          <w:rFonts w:eastAsia="Times New Roman"/>
        </w:rPr>
        <w:t>]</w:t>
      </w:r>
      <w:r>
        <w:rPr>
          <w:rFonts w:eastAsia="Times New Roman"/>
        </w:rPr>
        <w:tab/>
        <w:t xml:space="preserve">S. J. Li, T. C. Cui, Y. L. Hao, and R. Yang, “Fatigue properties of a metastable β-type titanium alloy with reversible phase transformation,” </w:t>
      </w:r>
      <w:r>
        <w:rPr>
          <w:rFonts w:eastAsia="Times New Roman"/>
          <w:i/>
          <w:iCs/>
        </w:rPr>
        <w:t xml:space="preserve">Acta </w:t>
      </w:r>
      <w:proofErr w:type="spellStart"/>
      <w:r>
        <w:rPr>
          <w:rFonts w:eastAsia="Times New Roman"/>
          <w:i/>
          <w:iCs/>
        </w:rPr>
        <w:t>Biomater</w:t>
      </w:r>
      <w:proofErr w:type="spellEnd"/>
      <w:r>
        <w:rPr>
          <w:rFonts w:eastAsia="Times New Roman"/>
        </w:rPr>
        <w:t xml:space="preserve">, vol. 4, no. 2, pp. 305–317, Mar. 2008, </w:t>
      </w:r>
      <w:proofErr w:type="spellStart"/>
      <w:r>
        <w:rPr>
          <w:rFonts w:eastAsia="Times New Roman"/>
        </w:rPr>
        <w:t>doi</w:t>
      </w:r>
      <w:proofErr w:type="spellEnd"/>
      <w:r>
        <w:rPr>
          <w:rFonts w:eastAsia="Times New Roman"/>
        </w:rPr>
        <w:t>: 10.1016/J.ACTBIO.2007.09.009.</w:t>
      </w:r>
    </w:p>
    <w:p w14:paraId="712294DD" w14:textId="3590C56C" w:rsidR="00A3605B" w:rsidRDefault="00A3605B">
      <w:pPr>
        <w:autoSpaceDE w:val="0"/>
        <w:autoSpaceDN w:val="0"/>
        <w:ind w:hanging="640"/>
        <w:divId w:val="1906643883"/>
        <w:rPr>
          <w:rFonts w:eastAsia="Times New Roman"/>
        </w:rPr>
      </w:pPr>
      <w:r>
        <w:rPr>
          <w:rFonts w:eastAsia="Times New Roman"/>
        </w:rPr>
        <w:t>[</w:t>
      </w:r>
      <w:r w:rsidR="00B62EF1">
        <w:rPr>
          <w:rFonts w:eastAsia="Times New Roman"/>
        </w:rPr>
        <w:t>10</w:t>
      </w:r>
      <w:r>
        <w:rPr>
          <w:rFonts w:eastAsia="Times New Roman"/>
        </w:rPr>
        <w:t>]</w:t>
      </w:r>
      <w:r>
        <w:rPr>
          <w:rFonts w:eastAsia="Times New Roman"/>
        </w:rPr>
        <w:tab/>
        <w:t xml:space="preserve">R. </w:t>
      </w:r>
      <w:proofErr w:type="spellStart"/>
      <w:r>
        <w:rPr>
          <w:rFonts w:eastAsia="Times New Roman"/>
        </w:rPr>
        <w:t>Kolli</w:t>
      </w:r>
      <w:proofErr w:type="spellEnd"/>
      <w:r>
        <w:rPr>
          <w:rFonts w:eastAsia="Times New Roman"/>
        </w:rPr>
        <w:t xml:space="preserve">, A. D.- Metals, and undefined 2018, “A review of metastable beta titanium alloys,” </w:t>
      </w:r>
      <w:r>
        <w:rPr>
          <w:rFonts w:eastAsia="Times New Roman"/>
          <w:i/>
          <w:iCs/>
        </w:rPr>
        <w:t>mdpi.com</w:t>
      </w:r>
      <w:r>
        <w:rPr>
          <w:rFonts w:eastAsia="Times New Roman"/>
        </w:rPr>
        <w:t xml:space="preserve">, 2018, </w:t>
      </w:r>
      <w:proofErr w:type="spellStart"/>
      <w:r>
        <w:rPr>
          <w:rFonts w:eastAsia="Times New Roman"/>
        </w:rPr>
        <w:t>doi</w:t>
      </w:r>
      <w:proofErr w:type="spellEnd"/>
      <w:r>
        <w:rPr>
          <w:rFonts w:eastAsia="Times New Roman"/>
        </w:rPr>
        <w:t>: 10.3390/met8070506.</w:t>
      </w:r>
    </w:p>
    <w:p w14:paraId="721645A0" w14:textId="2F7AD7A9" w:rsidR="00635D58" w:rsidRDefault="00A3605B" w:rsidP="00635D58">
      <w:pPr>
        <w:autoSpaceDE w:val="0"/>
        <w:autoSpaceDN w:val="0"/>
        <w:ind w:hanging="640"/>
        <w:divId w:val="38094935"/>
        <w:rPr>
          <w:rFonts w:eastAsia="Times New Roman"/>
        </w:rPr>
      </w:pPr>
      <w:r>
        <w:rPr>
          <w:rFonts w:eastAsia="Times New Roman"/>
        </w:rPr>
        <w:t>[1</w:t>
      </w:r>
      <w:r w:rsidR="00B62EF1">
        <w:rPr>
          <w:rFonts w:eastAsia="Times New Roman"/>
        </w:rPr>
        <w:t>1</w:t>
      </w:r>
      <w:r>
        <w:rPr>
          <w:rFonts w:eastAsia="Times New Roman"/>
        </w:rPr>
        <w:t>]</w:t>
      </w:r>
      <w:r>
        <w:rPr>
          <w:rFonts w:eastAsia="Times New Roman"/>
        </w:rPr>
        <w:tab/>
        <w:t xml:space="preserve">J. A. </w:t>
      </w:r>
      <w:proofErr w:type="spellStart"/>
      <w:r>
        <w:rPr>
          <w:rFonts w:eastAsia="Times New Roman"/>
        </w:rPr>
        <w:t>Ballor</w:t>
      </w:r>
      <w:proofErr w:type="spellEnd"/>
      <w:r>
        <w:rPr>
          <w:rFonts w:eastAsia="Times New Roman"/>
        </w:rPr>
        <w:t xml:space="preserve">, T. Li, F. Prima, C. J. Boehlert, and A. Devaraj, “A review of the metastable omega phase in beta titanium alloys: the phase transformation mechanisms and its effect on mechanical properties,” </w:t>
      </w:r>
      <w:r>
        <w:rPr>
          <w:rFonts w:eastAsia="Times New Roman"/>
          <w:i/>
          <w:iCs/>
        </w:rPr>
        <w:t>https://doi.org/10.1080/09506608.2022.2036401</w:t>
      </w:r>
      <w:r>
        <w:rPr>
          <w:rFonts w:eastAsia="Times New Roman"/>
        </w:rPr>
        <w:t xml:space="preserve">, 2022, </w:t>
      </w:r>
      <w:proofErr w:type="spellStart"/>
      <w:r>
        <w:rPr>
          <w:rFonts w:eastAsia="Times New Roman"/>
        </w:rPr>
        <w:t>doi</w:t>
      </w:r>
      <w:proofErr w:type="spellEnd"/>
      <w:r>
        <w:rPr>
          <w:rFonts w:eastAsia="Times New Roman"/>
        </w:rPr>
        <w:t>: 10.1080/09506608.2022.2036401.</w:t>
      </w:r>
    </w:p>
    <w:p w14:paraId="14D83CB9" w14:textId="0345FDAE" w:rsidR="00635D58" w:rsidRDefault="00635D58" w:rsidP="00635D58">
      <w:pPr>
        <w:autoSpaceDE w:val="0"/>
        <w:autoSpaceDN w:val="0"/>
        <w:ind w:hanging="640"/>
        <w:divId w:val="38094935"/>
        <w:rPr>
          <w:rFonts w:eastAsia="Times New Roman"/>
        </w:rPr>
      </w:pPr>
      <w:r>
        <w:rPr>
          <w:rFonts w:eastAsia="Times New Roman"/>
        </w:rPr>
        <w:t>[1</w:t>
      </w:r>
      <w:r w:rsidR="00B62EF1">
        <w:rPr>
          <w:rFonts w:eastAsia="Times New Roman"/>
        </w:rPr>
        <w:t>2</w:t>
      </w:r>
      <w:r>
        <w:rPr>
          <w:rFonts w:eastAsia="Times New Roman"/>
        </w:rPr>
        <w:t xml:space="preserve">]      </w:t>
      </w:r>
      <w:r w:rsidRPr="00635D58">
        <w:rPr>
          <w:rFonts w:eastAsia="Times New Roman"/>
        </w:rPr>
        <w:t xml:space="preserve">F.R. </w:t>
      </w:r>
      <w:proofErr w:type="spellStart"/>
      <w:r w:rsidRPr="00635D58">
        <w:rPr>
          <w:rFonts w:eastAsia="Times New Roman"/>
        </w:rPr>
        <w:t>Kaschel</w:t>
      </w:r>
      <w:proofErr w:type="spellEnd"/>
      <w:r w:rsidRPr="00635D58">
        <w:rPr>
          <w:rFonts w:eastAsia="Times New Roman"/>
        </w:rPr>
        <w:t xml:space="preserve">, D.P. Dowling, M. </w:t>
      </w:r>
      <w:proofErr w:type="spellStart"/>
      <w:r w:rsidRPr="00635D58">
        <w:rPr>
          <w:rFonts w:eastAsia="Times New Roman"/>
        </w:rPr>
        <w:t>Celikin</w:t>
      </w:r>
      <w:proofErr w:type="spellEnd"/>
      <w:r w:rsidRPr="00635D58">
        <w:rPr>
          <w:rFonts w:eastAsia="Times New Roman"/>
        </w:rPr>
        <w:t>, ‘In-situ XRD study on the effects of stress relaxation and phase transformation heat treatments on mechanical and microstructural behaviour of additively manufactured Ti-6Al-4V’, Materials Science and Engineering A, v. 819,141514, 2021</w:t>
      </w:r>
    </w:p>
    <w:p w14:paraId="37A36BE5" w14:textId="7ED3AF8C" w:rsidR="00635D58" w:rsidRDefault="00635D58" w:rsidP="00635D58">
      <w:pPr>
        <w:autoSpaceDE w:val="0"/>
        <w:autoSpaceDN w:val="0"/>
        <w:ind w:hanging="644"/>
        <w:divId w:val="38094935"/>
        <w:rPr>
          <w:rFonts w:eastAsia="Times New Roman"/>
        </w:rPr>
      </w:pPr>
      <w:r>
        <w:rPr>
          <w:rFonts w:eastAsia="Times New Roman"/>
        </w:rPr>
        <w:t>[1</w:t>
      </w:r>
      <w:r w:rsidR="00B62EF1">
        <w:rPr>
          <w:rFonts w:eastAsia="Times New Roman"/>
        </w:rPr>
        <w:t>3</w:t>
      </w:r>
      <w:r>
        <w:rPr>
          <w:rFonts w:eastAsia="Times New Roman"/>
        </w:rPr>
        <w:t xml:space="preserve">]      </w:t>
      </w:r>
      <w:r w:rsidRPr="00635D58">
        <w:rPr>
          <w:rFonts w:eastAsia="Times New Roman"/>
        </w:rPr>
        <w:t xml:space="preserve">S. Piazza, B. </w:t>
      </w:r>
      <w:proofErr w:type="spellStart"/>
      <w:r w:rsidRPr="00635D58">
        <w:rPr>
          <w:rFonts w:eastAsia="Times New Roman"/>
        </w:rPr>
        <w:t>Merrigan</w:t>
      </w:r>
      <w:proofErr w:type="spellEnd"/>
      <w:r w:rsidRPr="00635D58">
        <w:rPr>
          <w:rFonts w:eastAsia="Times New Roman"/>
        </w:rPr>
        <w:t xml:space="preserve">, D.P. Dowling, M. </w:t>
      </w:r>
      <w:proofErr w:type="spellStart"/>
      <w:r w:rsidRPr="00635D58">
        <w:rPr>
          <w:rFonts w:eastAsia="Times New Roman"/>
        </w:rPr>
        <w:t>Celikin</w:t>
      </w:r>
      <w:proofErr w:type="spellEnd"/>
      <w:r w:rsidRPr="00635D58">
        <w:rPr>
          <w:rFonts w:eastAsia="Times New Roman"/>
        </w:rPr>
        <w:t>, ‘The effects of geometry and laser power on the porosity and melt pool formation in additively manufactured 316L stainless steel’, International Journal of Advanced Manufacturing Technology, v.111, n. 5-6, p. 1457 – 14701, 2020</w:t>
      </w:r>
    </w:p>
    <w:p w14:paraId="0DAF3656" w14:textId="18A8D158" w:rsidR="00A3605B" w:rsidRPr="00635D58" w:rsidRDefault="00635D58" w:rsidP="00635D58">
      <w:pPr>
        <w:ind w:left="709" w:hanging="709"/>
        <w:rPr>
          <w:rFonts w:eastAsia="Times New Roman"/>
        </w:rPr>
      </w:pPr>
      <w:r>
        <w:rPr>
          <w:rFonts w:eastAsia="Times New Roman"/>
        </w:rPr>
        <w:t>[1</w:t>
      </w:r>
      <w:r w:rsidR="00B62EF1">
        <w:rPr>
          <w:rFonts w:eastAsia="Times New Roman"/>
        </w:rPr>
        <w:t>4</w:t>
      </w:r>
      <w:r>
        <w:rPr>
          <w:rFonts w:eastAsia="Times New Roman"/>
        </w:rPr>
        <w:t>]</w:t>
      </w:r>
      <w:r w:rsidR="00A3605B">
        <w:rPr>
          <w:rFonts w:eastAsia="Times New Roman"/>
        </w:rPr>
        <w:t> </w:t>
      </w:r>
      <w:r>
        <w:rPr>
          <w:rFonts w:eastAsia="Times New Roman"/>
        </w:rPr>
        <w:t xml:space="preserve">    </w:t>
      </w:r>
      <w:r w:rsidRPr="00635D58">
        <w:rPr>
          <w:rFonts w:eastAsia="Times New Roman"/>
        </w:rPr>
        <w:t xml:space="preserve">F.R. </w:t>
      </w:r>
      <w:proofErr w:type="spellStart"/>
      <w:r w:rsidRPr="00635D58">
        <w:rPr>
          <w:rFonts w:eastAsia="Times New Roman"/>
        </w:rPr>
        <w:t>Kaschel</w:t>
      </w:r>
      <w:proofErr w:type="spellEnd"/>
      <w:r w:rsidRPr="00635D58">
        <w:rPr>
          <w:rFonts w:eastAsia="Times New Roman"/>
        </w:rPr>
        <w:t xml:space="preserve">, R.K. </w:t>
      </w:r>
      <w:proofErr w:type="spellStart"/>
      <w:r w:rsidRPr="00635D58">
        <w:rPr>
          <w:rFonts w:eastAsia="Times New Roman"/>
        </w:rPr>
        <w:t>Vijayaraghavan</w:t>
      </w:r>
      <w:proofErr w:type="spellEnd"/>
      <w:r w:rsidRPr="00635D58">
        <w:rPr>
          <w:rFonts w:eastAsia="Times New Roman"/>
        </w:rPr>
        <w:t xml:space="preserve">, A </w:t>
      </w:r>
      <w:proofErr w:type="spellStart"/>
      <w:r w:rsidRPr="00635D58">
        <w:rPr>
          <w:rFonts w:eastAsia="Times New Roman"/>
        </w:rPr>
        <w:t>Shmeliov</w:t>
      </w:r>
      <w:proofErr w:type="spellEnd"/>
      <w:r w:rsidRPr="00635D58">
        <w:rPr>
          <w:rFonts w:eastAsia="Times New Roman"/>
        </w:rPr>
        <w:t xml:space="preserve">, E.K. McCarthy, M. Canavan, P.J. McNally, D.P. Dowling, V. Nicolosi, M. </w:t>
      </w:r>
      <w:proofErr w:type="spellStart"/>
      <w:r w:rsidRPr="00635D58">
        <w:rPr>
          <w:rFonts w:eastAsia="Times New Roman"/>
        </w:rPr>
        <w:t>Celikin</w:t>
      </w:r>
      <w:proofErr w:type="spellEnd"/>
      <w:r w:rsidRPr="00635D58">
        <w:rPr>
          <w:rFonts w:eastAsia="Times New Roman"/>
        </w:rPr>
        <w:t xml:space="preserve">, ‘Mechanism of Stress Relaxation and Phase Transformation in Additively Manufactured Ti-6Al-4V via in situ High Temperature XRD and TEM Analyses’, Acta </w:t>
      </w:r>
      <w:proofErr w:type="spellStart"/>
      <w:r w:rsidRPr="00635D58">
        <w:rPr>
          <w:rFonts w:eastAsia="Times New Roman"/>
        </w:rPr>
        <w:t>Materialia</w:t>
      </w:r>
      <w:proofErr w:type="spellEnd"/>
      <w:r w:rsidRPr="00635D58">
        <w:rPr>
          <w:rFonts w:eastAsia="Times New Roman"/>
        </w:rPr>
        <w:t>, v. 188, p.720-732, 2020</w:t>
      </w:r>
    </w:p>
    <w:sectPr w:rsidR="00A3605B" w:rsidRPr="00635D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4547D"/>
    <w:multiLevelType w:val="hybridMultilevel"/>
    <w:tmpl w:val="F5B0EBD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60257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B90"/>
    <w:rsid w:val="00001893"/>
    <w:rsid w:val="00026B35"/>
    <w:rsid w:val="00051269"/>
    <w:rsid w:val="00055DBF"/>
    <w:rsid w:val="000E5E65"/>
    <w:rsid w:val="00111A0A"/>
    <w:rsid w:val="001A04C2"/>
    <w:rsid w:val="001C1A25"/>
    <w:rsid w:val="001D36CF"/>
    <w:rsid w:val="001E2DD8"/>
    <w:rsid w:val="002165F6"/>
    <w:rsid w:val="0024732C"/>
    <w:rsid w:val="00277030"/>
    <w:rsid w:val="002D2C7C"/>
    <w:rsid w:val="002D5FCB"/>
    <w:rsid w:val="002F5F76"/>
    <w:rsid w:val="0033560A"/>
    <w:rsid w:val="00337D38"/>
    <w:rsid w:val="003B2961"/>
    <w:rsid w:val="004007EE"/>
    <w:rsid w:val="00412BD3"/>
    <w:rsid w:val="004329D1"/>
    <w:rsid w:val="00435CA7"/>
    <w:rsid w:val="004444BE"/>
    <w:rsid w:val="004516C9"/>
    <w:rsid w:val="00482D52"/>
    <w:rsid w:val="004B08F9"/>
    <w:rsid w:val="004C47F8"/>
    <w:rsid w:val="004D23A0"/>
    <w:rsid w:val="004E27BA"/>
    <w:rsid w:val="00516789"/>
    <w:rsid w:val="00521AC9"/>
    <w:rsid w:val="0055225E"/>
    <w:rsid w:val="00563D84"/>
    <w:rsid w:val="00581456"/>
    <w:rsid w:val="005A0E04"/>
    <w:rsid w:val="005A408B"/>
    <w:rsid w:val="005A4AD4"/>
    <w:rsid w:val="005B3D46"/>
    <w:rsid w:val="005C2C01"/>
    <w:rsid w:val="005D5DCA"/>
    <w:rsid w:val="00635D58"/>
    <w:rsid w:val="00674B42"/>
    <w:rsid w:val="00684A5B"/>
    <w:rsid w:val="0069199B"/>
    <w:rsid w:val="006C067F"/>
    <w:rsid w:val="006C62BE"/>
    <w:rsid w:val="006D3B47"/>
    <w:rsid w:val="006D43BD"/>
    <w:rsid w:val="007144D2"/>
    <w:rsid w:val="00717AFB"/>
    <w:rsid w:val="007325BE"/>
    <w:rsid w:val="00743239"/>
    <w:rsid w:val="007765C7"/>
    <w:rsid w:val="007C0C73"/>
    <w:rsid w:val="007C1159"/>
    <w:rsid w:val="007C2D48"/>
    <w:rsid w:val="007E3038"/>
    <w:rsid w:val="007E7E4A"/>
    <w:rsid w:val="007F0525"/>
    <w:rsid w:val="00863DAB"/>
    <w:rsid w:val="00867F29"/>
    <w:rsid w:val="008900F0"/>
    <w:rsid w:val="008975AD"/>
    <w:rsid w:val="00932616"/>
    <w:rsid w:val="00936AD2"/>
    <w:rsid w:val="009835C9"/>
    <w:rsid w:val="009B6EF5"/>
    <w:rsid w:val="009D0C6E"/>
    <w:rsid w:val="009E5F14"/>
    <w:rsid w:val="009E674A"/>
    <w:rsid w:val="009F2108"/>
    <w:rsid w:val="009F4966"/>
    <w:rsid w:val="00A06147"/>
    <w:rsid w:val="00A1009F"/>
    <w:rsid w:val="00A14171"/>
    <w:rsid w:val="00A3605B"/>
    <w:rsid w:val="00A44173"/>
    <w:rsid w:val="00A47356"/>
    <w:rsid w:val="00A72FBF"/>
    <w:rsid w:val="00A94650"/>
    <w:rsid w:val="00AA1777"/>
    <w:rsid w:val="00AA6EB5"/>
    <w:rsid w:val="00AD7D65"/>
    <w:rsid w:val="00AF5F4D"/>
    <w:rsid w:val="00AF674E"/>
    <w:rsid w:val="00B21F3C"/>
    <w:rsid w:val="00B4094F"/>
    <w:rsid w:val="00B41B9F"/>
    <w:rsid w:val="00B43441"/>
    <w:rsid w:val="00B62EF1"/>
    <w:rsid w:val="00B67B14"/>
    <w:rsid w:val="00B85FFB"/>
    <w:rsid w:val="00B95909"/>
    <w:rsid w:val="00BB71C4"/>
    <w:rsid w:val="00BD68A9"/>
    <w:rsid w:val="00BF1C95"/>
    <w:rsid w:val="00C1649B"/>
    <w:rsid w:val="00C42178"/>
    <w:rsid w:val="00CE65A6"/>
    <w:rsid w:val="00CE7D1D"/>
    <w:rsid w:val="00D276C6"/>
    <w:rsid w:val="00D44DA2"/>
    <w:rsid w:val="00DD0B27"/>
    <w:rsid w:val="00DE02CB"/>
    <w:rsid w:val="00DE7882"/>
    <w:rsid w:val="00DF17E3"/>
    <w:rsid w:val="00E16798"/>
    <w:rsid w:val="00E27CE5"/>
    <w:rsid w:val="00E43A9F"/>
    <w:rsid w:val="00E748E3"/>
    <w:rsid w:val="00E94182"/>
    <w:rsid w:val="00EC291F"/>
    <w:rsid w:val="00EE62F1"/>
    <w:rsid w:val="00F560F5"/>
    <w:rsid w:val="00F6768E"/>
    <w:rsid w:val="00F92A07"/>
    <w:rsid w:val="00FB0EC6"/>
    <w:rsid w:val="00FB53AF"/>
    <w:rsid w:val="00FE3B9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329DC"/>
  <w15:chartTrackingRefBased/>
  <w15:docId w15:val="{1ED36746-1557-4EB1-A988-E971A653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2CB"/>
    <w:pPr>
      <w:jc w:val="both"/>
    </w:pPr>
    <w:rPr>
      <w:rFonts w:ascii="Times New Roman" w:hAnsi="Times New Roman" w:cs="Times New Roman"/>
      <w:sz w:val="20"/>
      <w:szCs w:val="20"/>
      <w:lang w:eastAsia="en-GB"/>
    </w:rPr>
  </w:style>
  <w:style w:type="paragraph" w:styleId="Heading1">
    <w:name w:val="heading 1"/>
    <w:basedOn w:val="Normal"/>
    <w:next w:val="Normal"/>
    <w:link w:val="Heading1Char"/>
    <w:uiPriority w:val="9"/>
    <w:qFormat/>
    <w:rsid w:val="00674B42"/>
    <w:pPr>
      <w:keepNext/>
      <w:keepLines/>
      <w:spacing w:before="240" w:after="0"/>
      <w:outlineLvl w:val="0"/>
    </w:pPr>
    <w:rPr>
      <w:rFonts w:eastAsiaTheme="majorEastAsia"/>
      <w:color w:val="2F5496" w:themeColor="accent1" w:themeShade="BF"/>
      <w:sz w:val="32"/>
      <w:szCs w:val="32"/>
    </w:rPr>
  </w:style>
  <w:style w:type="paragraph" w:styleId="Heading2">
    <w:name w:val="heading 2"/>
    <w:basedOn w:val="Normal"/>
    <w:next w:val="Normal"/>
    <w:link w:val="Heading2Char"/>
    <w:uiPriority w:val="9"/>
    <w:unhideWhenUsed/>
    <w:qFormat/>
    <w:rsid w:val="00674B42"/>
    <w:pPr>
      <w:keepNext/>
      <w:keepLines/>
      <w:spacing w:before="40" w:after="0"/>
      <w:outlineLvl w:val="1"/>
    </w:pPr>
    <w:rPr>
      <w:rFonts w:eastAsiaTheme="majorEastAsia"/>
      <w:color w:val="2F5496" w:themeColor="accent1" w:themeShade="BF"/>
      <w:sz w:val="26"/>
      <w:szCs w:val="26"/>
      <w:shd w:val="clear" w:color="auto" w:fill="FFFFF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74B42"/>
    <w:pPr>
      <w:spacing w:after="0" w:line="240" w:lineRule="auto"/>
      <w:contextualSpacing/>
    </w:pPr>
    <w:rPr>
      <w:rFonts w:eastAsiaTheme="majorEastAsia"/>
      <w:spacing w:val="-10"/>
      <w:kern w:val="28"/>
      <w:sz w:val="48"/>
      <w:szCs w:val="48"/>
    </w:rPr>
  </w:style>
  <w:style w:type="character" w:customStyle="1" w:styleId="TitleChar">
    <w:name w:val="Title Char"/>
    <w:basedOn w:val="DefaultParagraphFont"/>
    <w:link w:val="Title"/>
    <w:uiPriority w:val="10"/>
    <w:rsid w:val="00674B42"/>
    <w:rPr>
      <w:rFonts w:ascii="Times New Roman" w:eastAsiaTheme="majorEastAsia" w:hAnsi="Times New Roman" w:cs="Times New Roman"/>
      <w:spacing w:val="-10"/>
      <w:kern w:val="28"/>
      <w:sz w:val="48"/>
      <w:szCs w:val="48"/>
      <w:lang w:eastAsia="en-GB"/>
    </w:rPr>
  </w:style>
  <w:style w:type="character" w:customStyle="1" w:styleId="Heading1Char">
    <w:name w:val="Heading 1 Char"/>
    <w:basedOn w:val="DefaultParagraphFont"/>
    <w:link w:val="Heading1"/>
    <w:uiPriority w:val="9"/>
    <w:rsid w:val="00674B42"/>
    <w:rPr>
      <w:rFonts w:ascii="Times New Roman" w:eastAsiaTheme="majorEastAsia" w:hAnsi="Times New Roman" w:cs="Times New Roman"/>
      <w:color w:val="2F5496" w:themeColor="accent1" w:themeShade="BF"/>
      <w:sz w:val="32"/>
      <w:szCs w:val="32"/>
      <w:lang w:eastAsia="en-GB"/>
    </w:rPr>
  </w:style>
  <w:style w:type="character" w:styleId="Hyperlink">
    <w:name w:val="Hyperlink"/>
    <w:basedOn w:val="DefaultParagraphFont"/>
    <w:uiPriority w:val="99"/>
    <w:unhideWhenUsed/>
    <w:rsid w:val="00001893"/>
    <w:rPr>
      <w:color w:val="0563C1" w:themeColor="hyperlink"/>
      <w:u w:val="single"/>
    </w:rPr>
  </w:style>
  <w:style w:type="character" w:styleId="UnresolvedMention">
    <w:name w:val="Unresolved Mention"/>
    <w:basedOn w:val="DefaultParagraphFont"/>
    <w:uiPriority w:val="99"/>
    <w:semiHidden/>
    <w:unhideWhenUsed/>
    <w:rsid w:val="00001893"/>
    <w:rPr>
      <w:color w:val="605E5C"/>
      <w:shd w:val="clear" w:color="auto" w:fill="E1DFDD"/>
    </w:rPr>
  </w:style>
  <w:style w:type="character" w:customStyle="1" w:styleId="Heading2Char">
    <w:name w:val="Heading 2 Char"/>
    <w:basedOn w:val="DefaultParagraphFont"/>
    <w:link w:val="Heading2"/>
    <w:uiPriority w:val="9"/>
    <w:rsid w:val="00674B42"/>
    <w:rPr>
      <w:rFonts w:ascii="Times New Roman" w:eastAsiaTheme="majorEastAsia" w:hAnsi="Times New Roman" w:cs="Times New Roman"/>
      <w:color w:val="2F5496" w:themeColor="accent1" w:themeShade="BF"/>
      <w:sz w:val="26"/>
      <w:szCs w:val="26"/>
      <w:lang w:eastAsia="en-GB"/>
    </w:rPr>
  </w:style>
  <w:style w:type="paragraph" w:styleId="Caption">
    <w:name w:val="caption"/>
    <w:basedOn w:val="Normal"/>
    <w:next w:val="Normal"/>
    <w:uiPriority w:val="35"/>
    <w:unhideWhenUsed/>
    <w:qFormat/>
    <w:rsid w:val="00B67B14"/>
    <w:pPr>
      <w:spacing w:after="200" w:line="240" w:lineRule="auto"/>
    </w:pPr>
    <w:rPr>
      <w:i/>
      <w:iCs/>
      <w:color w:val="44546A" w:themeColor="text2"/>
      <w:sz w:val="18"/>
      <w:szCs w:val="18"/>
    </w:rPr>
  </w:style>
  <w:style w:type="table" w:styleId="TableGrid">
    <w:name w:val="Table Grid"/>
    <w:basedOn w:val="TableNormal"/>
    <w:uiPriority w:val="39"/>
    <w:rsid w:val="00F560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7E4A"/>
    <w:pPr>
      <w:ind w:left="720"/>
      <w:contextualSpacing/>
    </w:pPr>
  </w:style>
  <w:style w:type="character" w:styleId="PlaceholderText">
    <w:name w:val="Placeholder Text"/>
    <w:basedOn w:val="DefaultParagraphFont"/>
    <w:uiPriority w:val="99"/>
    <w:semiHidden/>
    <w:rsid w:val="00A1417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87371">
      <w:bodyDiv w:val="1"/>
      <w:marLeft w:val="0"/>
      <w:marRight w:val="0"/>
      <w:marTop w:val="0"/>
      <w:marBottom w:val="0"/>
      <w:divBdr>
        <w:top w:val="none" w:sz="0" w:space="0" w:color="auto"/>
        <w:left w:val="none" w:sz="0" w:space="0" w:color="auto"/>
        <w:bottom w:val="none" w:sz="0" w:space="0" w:color="auto"/>
        <w:right w:val="none" w:sz="0" w:space="0" w:color="auto"/>
      </w:divBdr>
      <w:divsChild>
        <w:div w:id="2090152381">
          <w:marLeft w:val="640"/>
          <w:marRight w:val="0"/>
          <w:marTop w:val="0"/>
          <w:marBottom w:val="0"/>
          <w:divBdr>
            <w:top w:val="none" w:sz="0" w:space="0" w:color="auto"/>
            <w:left w:val="none" w:sz="0" w:space="0" w:color="auto"/>
            <w:bottom w:val="none" w:sz="0" w:space="0" w:color="auto"/>
            <w:right w:val="none" w:sz="0" w:space="0" w:color="auto"/>
          </w:divBdr>
        </w:div>
        <w:div w:id="1109010358">
          <w:marLeft w:val="640"/>
          <w:marRight w:val="0"/>
          <w:marTop w:val="0"/>
          <w:marBottom w:val="0"/>
          <w:divBdr>
            <w:top w:val="none" w:sz="0" w:space="0" w:color="auto"/>
            <w:left w:val="none" w:sz="0" w:space="0" w:color="auto"/>
            <w:bottom w:val="none" w:sz="0" w:space="0" w:color="auto"/>
            <w:right w:val="none" w:sz="0" w:space="0" w:color="auto"/>
          </w:divBdr>
        </w:div>
        <w:div w:id="201214701">
          <w:marLeft w:val="640"/>
          <w:marRight w:val="0"/>
          <w:marTop w:val="0"/>
          <w:marBottom w:val="0"/>
          <w:divBdr>
            <w:top w:val="none" w:sz="0" w:space="0" w:color="auto"/>
            <w:left w:val="none" w:sz="0" w:space="0" w:color="auto"/>
            <w:bottom w:val="none" w:sz="0" w:space="0" w:color="auto"/>
            <w:right w:val="none" w:sz="0" w:space="0" w:color="auto"/>
          </w:divBdr>
        </w:div>
        <w:div w:id="383411462">
          <w:marLeft w:val="640"/>
          <w:marRight w:val="0"/>
          <w:marTop w:val="0"/>
          <w:marBottom w:val="0"/>
          <w:divBdr>
            <w:top w:val="none" w:sz="0" w:space="0" w:color="auto"/>
            <w:left w:val="none" w:sz="0" w:space="0" w:color="auto"/>
            <w:bottom w:val="none" w:sz="0" w:space="0" w:color="auto"/>
            <w:right w:val="none" w:sz="0" w:space="0" w:color="auto"/>
          </w:divBdr>
        </w:div>
        <w:div w:id="847985653">
          <w:marLeft w:val="640"/>
          <w:marRight w:val="0"/>
          <w:marTop w:val="0"/>
          <w:marBottom w:val="0"/>
          <w:divBdr>
            <w:top w:val="none" w:sz="0" w:space="0" w:color="auto"/>
            <w:left w:val="none" w:sz="0" w:space="0" w:color="auto"/>
            <w:bottom w:val="none" w:sz="0" w:space="0" w:color="auto"/>
            <w:right w:val="none" w:sz="0" w:space="0" w:color="auto"/>
          </w:divBdr>
        </w:div>
        <w:div w:id="1242713568">
          <w:marLeft w:val="640"/>
          <w:marRight w:val="0"/>
          <w:marTop w:val="0"/>
          <w:marBottom w:val="0"/>
          <w:divBdr>
            <w:top w:val="none" w:sz="0" w:space="0" w:color="auto"/>
            <w:left w:val="none" w:sz="0" w:space="0" w:color="auto"/>
            <w:bottom w:val="none" w:sz="0" w:space="0" w:color="auto"/>
            <w:right w:val="none" w:sz="0" w:space="0" w:color="auto"/>
          </w:divBdr>
        </w:div>
        <w:div w:id="404717512">
          <w:marLeft w:val="640"/>
          <w:marRight w:val="0"/>
          <w:marTop w:val="0"/>
          <w:marBottom w:val="0"/>
          <w:divBdr>
            <w:top w:val="none" w:sz="0" w:space="0" w:color="auto"/>
            <w:left w:val="none" w:sz="0" w:space="0" w:color="auto"/>
            <w:bottom w:val="none" w:sz="0" w:space="0" w:color="auto"/>
            <w:right w:val="none" w:sz="0" w:space="0" w:color="auto"/>
          </w:divBdr>
        </w:div>
        <w:div w:id="1411275225">
          <w:marLeft w:val="640"/>
          <w:marRight w:val="0"/>
          <w:marTop w:val="0"/>
          <w:marBottom w:val="0"/>
          <w:divBdr>
            <w:top w:val="none" w:sz="0" w:space="0" w:color="auto"/>
            <w:left w:val="none" w:sz="0" w:space="0" w:color="auto"/>
            <w:bottom w:val="none" w:sz="0" w:space="0" w:color="auto"/>
            <w:right w:val="none" w:sz="0" w:space="0" w:color="auto"/>
          </w:divBdr>
        </w:div>
      </w:divsChild>
    </w:div>
    <w:div w:id="184949699">
      <w:bodyDiv w:val="1"/>
      <w:marLeft w:val="0"/>
      <w:marRight w:val="0"/>
      <w:marTop w:val="0"/>
      <w:marBottom w:val="0"/>
      <w:divBdr>
        <w:top w:val="none" w:sz="0" w:space="0" w:color="auto"/>
        <w:left w:val="none" w:sz="0" w:space="0" w:color="auto"/>
        <w:bottom w:val="none" w:sz="0" w:space="0" w:color="auto"/>
        <w:right w:val="none" w:sz="0" w:space="0" w:color="auto"/>
      </w:divBdr>
      <w:divsChild>
        <w:div w:id="1495027578">
          <w:marLeft w:val="1080"/>
          <w:marRight w:val="0"/>
          <w:marTop w:val="100"/>
          <w:marBottom w:val="0"/>
          <w:divBdr>
            <w:top w:val="none" w:sz="0" w:space="0" w:color="auto"/>
            <w:left w:val="none" w:sz="0" w:space="0" w:color="auto"/>
            <w:bottom w:val="none" w:sz="0" w:space="0" w:color="auto"/>
            <w:right w:val="none" w:sz="0" w:space="0" w:color="auto"/>
          </w:divBdr>
        </w:div>
      </w:divsChild>
    </w:div>
    <w:div w:id="953828337">
      <w:bodyDiv w:val="1"/>
      <w:marLeft w:val="0"/>
      <w:marRight w:val="0"/>
      <w:marTop w:val="0"/>
      <w:marBottom w:val="0"/>
      <w:divBdr>
        <w:top w:val="none" w:sz="0" w:space="0" w:color="auto"/>
        <w:left w:val="none" w:sz="0" w:space="0" w:color="auto"/>
        <w:bottom w:val="none" w:sz="0" w:space="0" w:color="auto"/>
        <w:right w:val="none" w:sz="0" w:space="0" w:color="auto"/>
      </w:divBdr>
      <w:divsChild>
        <w:div w:id="1682707739">
          <w:marLeft w:val="0"/>
          <w:marRight w:val="0"/>
          <w:marTop w:val="0"/>
          <w:marBottom w:val="0"/>
          <w:divBdr>
            <w:top w:val="none" w:sz="0" w:space="0" w:color="auto"/>
            <w:left w:val="none" w:sz="0" w:space="0" w:color="auto"/>
            <w:bottom w:val="none" w:sz="0" w:space="0" w:color="auto"/>
            <w:right w:val="none" w:sz="0" w:space="0" w:color="auto"/>
          </w:divBdr>
          <w:divsChild>
            <w:div w:id="697391953">
              <w:marLeft w:val="0"/>
              <w:marRight w:val="0"/>
              <w:marTop w:val="0"/>
              <w:marBottom w:val="0"/>
              <w:divBdr>
                <w:top w:val="none" w:sz="0" w:space="0" w:color="auto"/>
                <w:left w:val="none" w:sz="0" w:space="0" w:color="auto"/>
                <w:bottom w:val="none" w:sz="0" w:space="0" w:color="auto"/>
                <w:right w:val="none" w:sz="0" w:space="0" w:color="auto"/>
              </w:divBdr>
              <w:divsChild>
                <w:div w:id="2133207935">
                  <w:marLeft w:val="0"/>
                  <w:marRight w:val="0"/>
                  <w:marTop w:val="0"/>
                  <w:marBottom w:val="0"/>
                  <w:divBdr>
                    <w:top w:val="none" w:sz="0" w:space="0" w:color="auto"/>
                    <w:left w:val="none" w:sz="0" w:space="0" w:color="auto"/>
                    <w:bottom w:val="none" w:sz="0" w:space="0" w:color="auto"/>
                    <w:right w:val="none" w:sz="0" w:space="0" w:color="auto"/>
                  </w:divBdr>
                  <w:divsChild>
                    <w:div w:id="103647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948943">
      <w:bodyDiv w:val="1"/>
      <w:marLeft w:val="0"/>
      <w:marRight w:val="0"/>
      <w:marTop w:val="0"/>
      <w:marBottom w:val="0"/>
      <w:divBdr>
        <w:top w:val="none" w:sz="0" w:space="0" w:color="auto"/>
        <w:left w:val="none" w:sz="0" w:space="0" w:color="auto"/>
        <w:bottom w:val="none" w:sz="0" w:space="0" w:color="auto"/>
        <w:right w:val="none" w:sz="0" w:space="0" w:color="auto"/>
      </w:divBdr>
      <w:divsChild>
        <w:div w:id="150291511">
          <w:marLeft w:val="640"/>
          <w:marRight w:val="0"/>
          <w:marTop w:val="0"/>
          <w:marBottom w:val="0"/>
          <w:divBdr>
            <w:top w:val="none" w:sz="0" w:space="0" w:color="auto"/>
            <w:left w:val="none" w:sz="0" w:space="0" w:color="auto"/>
            <w:bottom w:val="none" w:sz="0" w:space="0" w:color="auto"/>
            <w:right w:val="none" w:sz="0" w:space="0" w:color="auto"/>
          </w:divBdr>
        </w:div>
        <w:div w:id="139153190">
          <w:marLeft w:val="640"/>
          <w:marRight w:val="0"/>
          <w:marTop w:val="0"/>
          <w:marBottom w:val="0"/>
          <w:divBdr>
            <w:top w:val="none" w:sz="0" w:space="0" w:color="auto"/>
            <w:left w:val="none" w:sz="0" w:space="0" w:color="auto"/>
            <w:bottom w:val="none" w:sz="0" w:space="0" w:color="auto"/>
            <w:right w:val="none" w:sz="0" w:space="0" w:color="auto"/>
          </w:divBdr>
        </w:div>
        <w:div w:id="368846404">
          <w:marLeft w:val="640"/>
          <w:marRight w:val="0"/>
          <w:marTop w:val="0"/>
          <w:marBottom w:val="0"/>
          <w:divBdr>
            <w:top w:val="none" w:sz="0" w:space="0" w:color="auto"/>
            <w:left w:val="none" w:sz="0" w:space="0" w:color="auto"/>
            <w:bottom w:val="none" w:sz="0" w:space="0" w:color="auto"/>
            <w:right w:val="none" w:sz="0" w:space="0" w:color="auto"/>
          </w:divBdr>
        </w:div>
        <w:div w:id="341783212">
          <w:marLeft w:val="640"/>
          <w:marRight w:val="0"/>
          <w:marTop w:val="0"/>
          <w:marBottom w:val="0"/>
          <w:divBdr>
            <w:top w:val="none" w:sz="0" w:space="0" w:color="auto"/>
            <w:left w:val="none" w:sz="0" w:space="0" w:color="auto"/>
            <w:bottom w:val="none" w:sz="0" w:space="0" w:color="auto"/>
            <w:right w:val="none" w:sz="0" w:space="0" w:color="auto"/>
          </w:divBdr>
        </w:div>
        <w:div w:id="2015765264">
          <w:marLeft w:val="640"/>
          <w:marRight w:val="0"/>
          <w:marTop w:val="0"/>
          <w:marBottom w:val="0"/>
          <w:divBdr>
            <w:top w:val="none" w:sz="0" w:space="0" w:color="auto"/>
            <w:left w:val="none" w:sz="0" w:space="0" w:color="auto"/>
            <w:bottom w:val="none" w:sz="0" w:space="0" w:color="auto"/>
            <w:right w:val="none" w:sz="0" w:space="0" w:color="auto"/>
          </w:divBdr>
        </w:div>
        <w:div w:id="1052341569">
          <w:marLeft w:val="640"/>
          <w:marRight w:val="0"/>
          <w:marTop w:val="0"/>
          <w:marBottom w:val="0"/>
          <w:divBdr>
            <w:top w:val="none" w:sz="0" w:space="0" w:color="auto"/>
            <w:left w:val="none" w:sz="0" w:space="0" w:color="auto"/>
            <w:bottom w:val="none" w:sz="0" w:space="0" w:color="auto"/>
            <w:right w:val="none" w:sz="0" w:space="0" w:color="auto"/>
          </w:divBdr>
        </w:div>
        <w:div w:id="1858537263">
          <w:marLeft w:val="640"/>
          <w:marRight w:val="0"/>
          <w:marTop w:val="0"/>
          <w:marBottom w:val="0"/>
          <w:divBdr>
            <w:top w:val="none" w:sz="0" w:space="0" w:color="auto"/>
            <w:left w:val="none" w:sz="0" w:space="0" w:color="auto"/>
            <w:bottom w:val="none" w:sz="0" w:space="0" w:color="auto"/>
            <w:right w:val="none" w:sz="0" w:space="0" w:color="auto"/>
          </w:divBdr>
        </w:div>
        <w:div w:id="660668659">
          <w:marLeft w:val="640"/>
          <w:marRight w:val="0"/>
          <w:marTop w:val="0"/>
          <w:marBottom w:val="0"/>
          <w:divBdr>
            <w:top w:val="none" w:sz="0" w:space="0" w:color="auto"/>
            <w:left w:val="none" w:sz="0" w:space="0" w:color="auto"/>
            <w:bottom w:val="none" w:sz="0" w:space="0" w:color="auto"/>
            <w:right w:val="none" w:sz="0" w:space="0" w:color="auto"/>
          </w:divBdr>
        </w:div>
        <w:div w:id="1906643883">
          <w:marLeft w:val="640"/>
          <w:marRight w:val="0"/>
          <w:marTop w:val="0"/>
          <w:marBottom w:val="0"/>
          <w:divBdr>
            <w:top w:val="none" w:sz="0" w:space="0" w:color="auto"/>
            <w:left w:val="none" w:sz="0" w:space="0" w:color="auto"/>
            <w:bottom w:val="none" w:sz="0" w:space="0" w:color="auto"/>
            <w:right w:val="none" w:sz="0" w:space="0" w:color="auto"/>
          </w:divBdr>
        </w:div>
        <w:div w:id="38094935">
          <w:marLeft w:val="640"/>
          <w:marRight w:val="0"/>
          <w:marTop w:val="0"/>
          <w:marBottom w:val="0"/>
          <w:divBdr>
            <w:top w:val="none" w:sz="0" w:space="0" w:color="auto"/>
            <w:left w:val="none" w:sz="0" w:space="0" w:color="auto"/>
            <w:bottom w:val="none" w:sz="0" w:space="0" w:color="auto"/>
            <w:right w:val="none" w:sz="0" w:space="0" w:color="auto"/>
          </w:divBdr>
        </w:div>
      </w:divsChild>
    </w:div>
    <w:div w:id="1684167883">
      <w:bodyDiv w:val="1"/>
      <w:marLeft w:val="0"/>
      <w:marRight w:val="0"/>
      <w:marTop w:val="0"/>
      <w:marBottom w:val="0"/>
      <w:divBdr>
        <w:top w:val="none" w:sz="0" w:space="0" w:color="auto"/>
        <w:left w:val="none" w:sz="0" w:space="0" w:color="auto"/>
        <w:bottom w:val="none" w:sz="0" w:space="0" w:color="auto"/>
        <w:right w:val="none" w:sz="0" w:space="0" w:color="auto"/>
      </w:divBdr>
      <w:divsChild>
        <w:div w:id="1754279662">
          <w:marLeft w:val="0"/>
          <w:marRight w:val="0"/>
          <w:marTop w:val="0"/>
          <w:marBottom w:val="0"/>
          <w:divBdr>
            <w:top w:val="none" w:sz="0" w:space="0" w:color="auto"/>
            <w:left w:val="none" w:sz="0" w:space="0" w:color="auto"/>
            <w:bottom w:val="none" w:sz="0" w:space="0" w:color="auto"/>
            <w:right w:val="none" w:sz="0" w:space="0" w:color="auto"/>
          </w:divBdr>
        </w:div>
      </w:divsChild>
    </w:div>
    <w:div w:id="1756978321">
      <w:bodyDiv w:val="1"/>
      <w:marLeft w:val="0"/>
      <w:marRight w:val="0"/>
      <w:marTop w:val="0"/>
      <w:marBottom w:val="0"/>
      <w:divBdr>
        <w:top w:val="none" w:sz="0" w:space="0" w:color="auto"/>
        <w:left w:val="none" w:sz="0" w:space="0" w:color="auto"/>
        <w:bottom w:val="none" w:sz="0" w:space="0" w:color="auto"/>
        <w:right w:val="none" w:sz="0" w:space="0" w:color="auto"/>
      </w:divBdr>
      <w:divsChild>
        <w:div w:id="222910340">
          <w:marLeft w:val="640"/>
          <w:marRight w:val="0"/>
          <w:marTop w:val="0"/>
          <w:marBottom w:val="0"/>
          <w:divBdr>
            <w:top w:val="none" w:sz="0" w:space="0" w:color="auto"/>
            <w:left w:val="none" w:sz="0" w:space="0" w:color="auto"/>
            <w:bottom w:val="none" w:sz="0" w:space="0" w:color="auto"/>
            <w:right w:val="none" w:sz="0" w:space="0" w:color="auto"/>
          </w:divBdr>
        </w:div>
        <w:div w:id="377164698">
          <w:marLeft w:val="640"/>
          <w:marRight w:val="0"/>
          <w:marTop w:val="0"/>
          <w:marBottom w:val="0"/>
          <w:divBdr>
            <w:top w:val="none" w:sz="0" w:space="0" w:color="auto"/>
            <w:left w:val="none" w:sz="0" w:space="0" w:color="auto"/>
            <w:bottom w:val="none" w:sz="0" w:space="0" w:color="auto"/>
            <w:right w:val="none" w:sz="0" w:space="0" w:color="auto"/>
          </w:divBdr>
        </w:div>
        <w:div w:id="364062993">
          <w:marLeft w:val="640"/>
          <w:marRight w:val="0"/>
          <w:marTop w:val="0"/>
          <w:marBottom w:val="0"/>
          <w:divBdr>
            <w:top w:val="none" w:sz="0" w:space="0" w:color="auto"/>
            <w:left w:val="none" w:sz="0" w:space="0" w:color="auto"/>
            <w:bottom w:val="none" w:sz="0" w:space="0" w:color="auto"/>
            <w:right w:val="none" w:sz="0" w:space="0" w:color="auto"/>
          </w:divBdr>
        </w:div>
        <w:div w:id="1946687859">
          <w:marLeft w:val="640"/>
          <w:marRight w:val="0"/>
          <w:marTop w:val="0"/>
          <w:marBottom w:val="0"/>
          <w:divBdr>
            <w:top w:val="none" w:sz="0" w:space="0" w:color="auto"/>
            <w:left w:val="none" w:sz="0" w:space="0" w:color="auto"/>
            <w:bottom w:val="none" w:sz="0" w:space="0" w:color="auto"/>
            <w:right w:val="none" w:sz="0" w:space="0" w:color="auto"/>
          </w:divBdr>
        </w:div>
        <w:div w:id="1906185556">
          <w:marLeft w:val="640"/>
          <w:marRight w:val="0"/>
          <w:marTop w:val="0"/>
          <w:marBottom w:val="0"/>
          <w:divBdr>
            <w:top w:val="none" w:sz="0" w:space="0" w:color="auto"/>
            <w:left w:val="none" w:sz="0" w:space="0" w:color="auto"/>
            <w:bottom w:val="none" w:sz="0" w:space="0" w:color="auto"/>
            <w:right w:val="none" w:sz="0" w:space="0" w:color="auto"/>
          </w:divBdr>
        </w:div>
        <w:div w:id="1265384805">
          <w:marLeft w:val="640"/>
          <w:marRight w:val="0"/>
          <w:marTop w:val="0"/>
          <w:marBottom w:val="0"/>
          <w:divBdr>
            <w:top w:val="none" w:sz="0" w:space="0" w:color="auto"/>
            <w:left w:val="none" w:sz="0" w:space="0" w:color="auto"/>
            <w:bottom w:val="none" w:sz="0" w:space="0" w:color="auto"/>
            <w:right w:val="none" w:sz="0" w:space="0" w:color="auto"/>
          </w:divBdr>
        </w:div>
        <w:div w:id="1475180685">
          <w:marLeft w:val="640"/>
          <w:marRight w:val="0"/>
          <w:marTop w:val="0"/>
          <w:marBottom w:val="0"/>
          <w:divBdr>
            <w:top w:val="none" w:sz="0" w:space="0" w:color="auto"/>
            <w:left w:val="none" w:sz="0" w:space="0" w:color="auto"/>
            <w:bottom w:val="none" w:sz="0" w:space="0" w:color="auto"/>
            <w:right w:val="none" w:sz="0" w:space="0" w:color="auto"/>
          </w:divBdr>
        </w:div>
        <w:div w:id="1900049752">
          <w:marLeft w:val="640"/>
          <w:marRight w:val="0"/>
          <w:marTop w:val="0"/>
          <w:marBottom w:val="0"/>
          <w:divBdr>
            <w:top w:val="none" w:sz="0" w:space="0" w:color="auto"/>
            <w:left w:val="none" w:sz="0" w:space="0" w:color="auto"/>
            <w:bottom w:val="none" w:sz="0" w:space="0" w:color="auto"/>
            <w:right w:val="none" w:sz="0" w:space="0" w:color="auto"/>
          </w:divBdr>
        </w:div>
      </w:divsChild>
    </w:div>
    <w:div w:id="200370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theom\OneDrive\Documents\Project%20-%20TC\Data\HV%20Ti-Nb.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r>
              <a:rPr lang="en-IE" sz="1050"/>
              <a:t>Ti-Nb vs TNT HV0.5kgf</a:t>
            </a:r>
          </a:p>
        </c:rich>
      </c:tx>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Ti-25Nb</c:v>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'Ti-Nb'!$B$36:$D$36</c:f>
              <c:strCache>
                <c:ptCount val="3"/>
                <c:pt idx="0">
                  <c:v>3mm</c:v>
                </c:pt>
                <c:pt idx="1">
                  <c:v>5mm</c:v>
                </c:pt>
                <c:pt idx="2">
                  <c:v>10mm</c:v>
                </c:pt>
              </c:strCache>
            </c:strRef>
          </c:cat>
          <c:val>
            <c:numRef>
              <c:f>'Ti-Nb'!$B$40:$D$40</c:f>
              <c:numCache>
                <c:formatCode>General</c:formatCode>
                <c:ptCount val="3"/>
                <c:pt idx="0">
                  <c:v>243.0910202695361</c:v>
                </c:pt>
                <c:pt idx="1">
                  <c:v>268.29942510689733</c:v>
                </c:pt>
                <c:pt idx="2">
                  <c:v>248.09882906519411</c:v>
                </c:pt>
              </c:numCache>
            </c:numRef>
          </c:val>
          <c:extLst>
            <c:ext xmlns:c16="http://schemas.microsoft.com/office/drawing/2014/chart" uri="{C3380CC4-5D6E-409C-BE32-E72D297353CC}">
              <c16:uniqueId val="{00000000-6816-4F96-85A2-E9697450D67A}"/>
            </c:ext>
          </c:extLst>
        </c:ser>
        <c:ser>
          <c:idx val="1"/>
          <c:order val="1"/>
          <c:tx>
            <c:v>Ti-20Nb-10Ta</c:v>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'Ti-Nb'!$B$36:$D$36</c:f>
              <c:strCache>
                <c:ptCount val="3"/>
                <c:pt idx="0">
                  <c:v>3mm</c:v>
                </c:pt>
                <c:pt idx="1">
                  <c:v>5mm</c:v>
                </c:pt>
                <c:pt idx="2">
                  <c:v>10mm</c:v>
                </c:pt>
              </c:strCache>
            </c:strRef>
          </c:cat>
          <c:val>
            <c:numRef>
              <c:f>'Ti-Nb'!$B$43:$D$43</c:f>
              <c:numCache>
                <c:formatCode>General</c:formatCode>
                <c:ptCount val="3"/>
                <c:pt idx="0">
                  <c:v>359.76108521195158</c:v>
                </c:pt>
                <c:pt idx="1">
                  <c:v>360.27108497815988</c:v>
                </c:pt>
                <c:pt idx="2">
                  <c:v>358.12626120073134</c:v>
                </c:pt>
              </c:numCache>
            </c:numRef>
          </c:val>
          <c:extLst>
            <c:ext xmlns:c16="http://schemas.microsoft.com/office/drawing/2014/chart" uri="{C3380CC4-5D6E-409C-BE32-E72D297353CC}">
              <c16:uniqueId val="{00000001-6816-4F96-85A2-E9697450D67A}"/>
            </c:ext>
          </c:extLst>
        </c:ser>
        <c:dLbls>
          <c:showLegendKey val="0"/>
          <c:showVal val="0"/>
          <c:showCatName val="0"/>
          <c:showSerName val="0"/>
          <c:showPercent val="0"/>
          <c:showBubbleSize val="0"/>
        </c:dLbls>
        <c:gapWidth val="150"/>
        <c:axId val="773407951"/>
        <c:axId val="773410031"/>
      </c:barChart>
      <c:catAx>
        <c:axId val="773407951"/>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3410031"/>
        <c:crosses val="autoZero"/>
        <c:auto val="1"/>
        <c:lblAlgn val="ctr"/>
        <c:lblOffset val="100"/>
        <c:noMultiLvlLbl val="0"/>
      </c:catAx>
      <c:valAx>
        <c:axId val="7734100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340795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94A63AD-5248-4A50-BFA7-324F34786AA3}">
  <we:reference id="wa104382081" version="1.46.0.0" store="en-GB" storeType="OMEX"/>
  <we:alternateReferences>
    <we:reference id="wa104382081" version="1.46.0.0" store="wa104382081" storeType="OMEX"/>
  </we:alternateReferences>
  <we:properties>
    <we:property name="MENDELEY_CITATIONS" value="[{&quot;citationID&quot;:&quot;MENDELEY_CITATION_73f3b77e-b8f8-41c3-89c8-feb65609ebe9&quot;,&quot;properties&quot;:{&quot;noteIndex&quot;:0},&quot;isEdited&quot;:false,&quot;manualOverride&quot;:{&quot;isManuallyOverridden&quot;:false,&quot;citeprocText&quot;:&quot;[1]&quot;,&quot;manualOverrideText&quot;:&quot;&quot;},&quot;citationTag&quot;:&quot;MENDELEY_CITATION_v3_eyJjaXRhdGlvbklEIjoiTUVOREVMRVlfQ0lUQVRJT05fNzNmM2I3N2UtYjhmOC00MWMzLTg5YzgtZmViNjU2MDllYmU5IiwicHJvcGVydGllcyI6eyJub3RlSW5kZXgiOjB9LCJpc0VkaXRlZCI6ZmFsc2UsIm1hbnVhbE92ZXJyaWRlIjp7ImlzTWFudWFsbHlPdmVycmlkZGVuIjpmYWxzZSwiY2l0ZXByb2NUZXh0IjoiWzFdIiwibWFudWFsT3ZlcnJpZGVUZXh0IjoiIn0sImNpdGF0aW9uSXRlbXMiOlt7ImlkIjoiZDY5NmU2NzUtODEyMC0zNzAxLWI1YWMtMmZhNTQ3Yzg3M2IwIiwiaXRlbURhdGEiOnsidHlwZSI6ImFydGljbGUtam91cm5hbCIsImlkIjoiZDY5NmU2NzUtODEyMC0zNzAxLWI1YWMtMmZhNTQ3Yzg3M2IwIiwidGl0bGUiOiJUaSBiYXNlZCBiaW9tYXRlcmlhbHMsIHRoZSB1bHRpbWF0ZSBjaG9pY2UgZm9yIG9ydGhvcGFlZGljIGltcGxhbnRzIOKAkyBBIHJldmlldyIsImF1dGhvciI6W3siZmFtaWx5IjoiR2VldGhhIiwiZ2l2ZW4iOiJNLiIsInBhcnNlLW5hbWVzIjpmYWxzZSwiZHJvcHBpbmctcGFydGljbGUiOiIiLCJub24tZHJvcHBpbmctcGFydGljbGUiOiIifSx7ImZhbWlseSI6IlNpbmdoIiwiZ2l2ZW4iOiJBLiBLLiIsInBhcnNlLW5hbWVzIjpmYWxzZSwiZHJvcHBpbmctcGFydGljbGUiOiIiLCJub24tZHJvcHBpbmctcGFydGljbGUiOiIifSx7ImZhbWlseSI6IkFzb2thbWFuaSIsImdpdmVuIjoiUi4iLCJwYXJzZS1uYW1lcyI6ZmFsc2UsImRyb3BwaW5nLXBhcnRpY2xlIjoiIiwibm9uLWRyb3BwaW5nLXBhcnRpY2xlIjoiIn0seyJmYW1pbHkiOiJHb2dpYSIsImdpdmVuIjoiQS4gSy4iLCJwYXJzZS1uYW1lcyI6ZmFsc2UsImRyb3BwaW5nLXBhcnRpY2xlIjoiIiwibm9uLWRyb3BwaW5nLXBhcnRpY2xlIjoiIn1dLCJjb250YWluZXItdGl0bGUiOiJQcm9ncmVzcyBpbiBNYXRlcmlhbHMgU2NpZW5jZSIsImFjY2Vzc2VkIjp7ImRhdGUtcGFydHMiOltbMjAyMiw0LDIwXV19LCJET0kiOiIxMC4xMDE2L0ouUE1BVFNDSS4yMDA4LjA2LjAwNCIsIklTU04iOiIwMDc5LTY0MjUiLCJpc3N1ZWQiOnsiZGF0ZS1wYXJ0cyI6W1syMDA5LDUsMV1dfSwicGFnZSI6IjM5Ny00MjUiLCJhYnN0cmFjdCI6IlRoZSBmaWVsZCBvZiBiaW9tYXRlcmlhbHMgaGFzIGJlY29tZSBhIHZpdGFsIGFyZWEsIGFzIHRoZXNlIG1hdGVyaWFscyBjYW4gZW5oYW5jZSB0aGUgcXVhbGl0eSBhbmQgbG9uZ2V2aXR5IG9mIGh1bWFuIGxpZmUgYW5kIHRoZSBzY2llbmNlIGFuZCB0ZWNobm9sb2d5IGFzc29jaWF0ZWQgd2l0aCB0aGlzIGZpZWxkIGhhcyBub3cgbGVkIHRvIG11bHRpLW1pbGxpb24gZG9sbGFyIGJ1c2luZXNzLiBUaGUgcGFwZXIgZm9jdXNlcyBpdHMgYXR0ZW50aW9uIG1haW5seSBvbiB0aXRhbml1bS1iYXNlZCBhbGxveXMsIGV2ZW4gdGhvdWdoIHRoZXJlIGV4aXN0cyBiaW9tYXRlcmlhbHMgbWFkZSB1cCBvZiBjZXJhbWljcywgcG9seW1lcnMgYW5kIGNvbXBvc2l0ZSBtYXRlcmlhbHMuIFRoZSBwYXBlciBkaXNjdXNzZXMgdGhlIGJpb21lY2hhbmljYWwgY29tcGF0aWJpbGl0eSBvZiBtYW55IG1ldGFsbGljIG1hdGVyaWFscyBhbmQgaXQgYnJpbmdzIG91dCB0aGUgb3ZlcmFsbCBzdXBlcmlvcml0eSBvZiBUaSBiYXNlZCBhbGxveXMsIGV2ZW4gdGhvdWdoIGl0IGlzIGNvc3RsaWVyLiBBcyBpdCBpcyB3ZWxsIGtub3duIHRoYXQgYSBnb29kIGJpb21hdGVyaWFsIHNob3VsZCBwb3NzZXNzIHRoZSBmdW5kYW1lbnRhbCBwcm9wZXJ0aWVzIHN1Y2ggYXMgYmV0dGVyIG1lY2hhbmljYWwgYW5kIGJpb2xvZ2ljYWwgY29tcGF0aWJpbGl0eSBhbmQgZW5oYW5jZWQgd2VhciBhbmQgY29ycm9zaW9uIHJlc2lzdGFuY2UgaW4gYmlvbG9naWNhbCBlbnZpcm9ubWVudCwgdGhlIHBhcGVyIGRpc2N1c3NlcyB0aGUgaW5mbHVlbmNlIG9mIGFsbG95IGNoZW1pc3RyeSwgdGhlcm1vbWVjaGFuaWNhbCBwcm9jZXNzaW5nIGFuZCBzdXJmYWNlIGNvbmRpdGlvbiBvbiB0aGVzZSBwcm9wZXJ0aWVzLiBJbiBhZGRpdGlvbiwgdGhpcyBwYXBlciBhbHNvIGRpc2N1c3NlcyBpbiBkZXRhaWwgdGhlIHZhcmlvdXMgc3VyZmFjZSBtb2RpZmljYXRpb24gdGVjaG5pcXVlcyB0byBhY2hpZXZlIHN1cGVyaW9yIGJpb2NvbXBhdGliaWxpdHksIGhpZ2hlciB3ZWFyIGFuZCBjb3Jyb3Npb24gcmVzaXN0YW5jZS4gT3ZlcmFsbCwgYW4gYXR0ZW1wdCBoYXMgYmVlbiBtYWRlIHRvIGJyaW5nIG91dCB0aGUgY3VycmVudCBzY2VuYXJpbyBvZiBUaSBiYXNlZCBtYXRlcmlhbHMgZm9yIGJpb21lZGljYWwgYXBwbGljYXRpb25zLiDCqSAyMDA4IEVsc2V2aWVyIEx0ZC4gQWxsIHJpZ2h0cyByZXNlcnZlZC4iLCJwdWJsaXNoZXIiOiJQZXJnYW1vbiIsImlzc3VlIjoiMyIsInZvbHVtZSI6IjU0IiwiY29udGFpbmVyLXRpdGxlLXNob3J0IjoiUHJvZyBNYXRlciBTY2kifSwiaXNUZW1wb3JhcnkiOmZhbHNlfV19&quot;,&quot;citationItems&quot;:[{&quot;id&quot;:&quot;d696e675-8120-3701-b5ac-2fa547c873b0&quot;,&quot;itemData&quot;:{&quot;type&quot;:&quot;article-journal&quot;,&quot;id&quot;:&quot;d696e675-8120-3701-b5ac-2fa547c873b0&quot;,&quot;title&quot;:&quot;Ti based biomaterials, the ultimate choice for orthopaedic implants – A review&quot;,&quot;author&quot;:[{&quot;family&quot;:&quot;Geetha&quot;,&quot;given&quot;:&quot;M.&quot;,&quot;parse-names&quot;:false,&quot;dropping-particle&quot;:&quot;&quot;,&quot;non-dropping-particle&quot;:&quot;&quot;},{&quot;family&quot;:&quot;Singh&quot;,&quot;given&quot;:&quot;A. K.&quot;,&quot;parse-names&quot;:false,&quot;dropping-particle&quot;:&quot;&quot;,&quot;non-dropping-particle&quot;:&quot;&quot;},{&quot;family&quot;:&quot;Asokamani&quot;,&quot;given&quot;:&quot;R.&quot;,&quot;parse-names&quot;:false,&quot;dropping-particle&quot;:&quot;&quot;,&quot;non-dropping-particle&quot;:&quot;&quot;},{&quot;family&quot;:&quot;Gogia&quot;,&quot;given&quot;:&quot;A. K.&quot;,&quot;parse-names&quot;:false,&quot;dropping-particle&quot;:&quot;&quot;,&quot;non-dropping-particle&quot;:&quot;&quot;}],&quot;container-title&quot;:&quot;Progress in Materials Science&quot;,&quot;accessed&quot;:{&quot;date-parts&quot;:[[2022,4,20]]},&quot;DOI&quot;:&quot;10.1016/J.PMATSCI.2008.06.004&quot;,&quot;ISSN&quot;:&quot;0079-6425&quot;,&quot;issued&quot;:{&quot;date-parts&quot;:[[2009,5,1]]},&quot;page&quot;:&quot;397-425&quot;,&quot;abstract&quot;:&quot;The field of biomaterials has become a vital area, as these materials can enhance the quality and longevity of human life and the science and technology associated with this field has now led to multi-million dollar business. The paper focuses its attention mainly on titanium-based alloys, even though there exists biomaterials made up of ceramics, polymers and composite materials. The paper discusses the biomechanical compatibility of many metallic materials and it brings out the overall superiority of Ti based alloys, even though it is costlier. As it is well known that a good biomaterial should possess the fundamental properties such as better mechanical and biological compatibility and enhanced wear and corrosion resistance in biological environment, the paper discusses the influence of alloy chemistry, thermomechanical processing and surface condition on these properties. In addition, this paper also discusses in detail the various surface modification techniques to achieve superior biocompatibility, higher wear and corrosion resistance. Overall, an attempt has been made to bring out the current scenario of Ti based materials for biomedical applications. © 2008 Elsevier Ltd. All rights reserved.&quot;,&quot;publisher&quot;:&quot;Pergamon&quot;,&quot;issue&quot;:&quot;3&quot;,&quot;volume&quot;:&quot;54&quot;,&quot;container-title-short&quot;:&quot;Prog Mater Sci&quot;},&quot;isTemporary&quot;:false}]},{&quot;citationID&quot;:&quot;MENDELEY_CITATION_65584022-d2df-4be9-9563-40dbfaa539ba&quot;,&quot;properties&quot;:{&quot;noteIndex&quot;:0},&quot;isEdited&quot;:false,&quot;manualOverride&quot;:{&quot;isManuallyOverridden&quot;:false,&quot;citeprocText&quot;:&quot;[2]&quot;,&quot;manualOverrideText&quot;:&quot;&quot;},&quot;citationTag&quot;:&quot;MENDELEY_CITATION_v3_eyJjaXRhdGlvbklEIjoiTUVOREVMRVlfQ0lUQVRJT05fNjU1ODQwMjItZDJkZi00YmU5LTk1NjMtNDBkYmZhYTUzOWJhIiwicHJvcGVydGllcyI6eyJub3RlSW5kZXgiOjB9LCJpc0VkaXRlZCI6ZmFsc2UsIm1hbnVhbE92ZXJyaWRlIjp7ImlzTWFudWFsbHlPdmVycmlkZGVuIjpmYWxzZSwiY2l0ZXByb2NUZXh0IjoiWzJdIiwibWFudWFsT3ZlcnJpZGVUZXh0IjoiIn0sImNpdGF0aW9uSXRlbXMiOlt7ImlkIjoiMzBhMGRiMDktODc1Ny0zNGJkLWIzN2QtZjcwODJlZDYwOTkwIiwiaXRlbURhdGEiOnsidHlwZSI6ImFydGljbGUtam91cm5hbCIsImlkIjoiMzBhMGRiMDktODc1Ny0zNGJkLWIzN2QtZjcwODJlZDYwOTkwIiwidGl0bGUiOiJUaXRhbml1bSB3ZWFyIGRlYnJpcyBpbiBmYWlsZWQgY2VtZW50ZWQgdG90YWwgaGlwIGFydGhyb3BsYXN0eTogQW4gYW5hbHlzaXMgb2YgNzEgY2FzZXMiLCJhdXRob3IiOlt7ImZhbWlseSI6IkJ1bHkiLCJnaXZlbiI6IlJvYmVydCBMLiIsInBhcnNlLW5hbWVzIjpmYWxzZSwiZHJvcHBpbmctcGFydGljbGUiOiIiLCJub24tZHJvcHBpbmctcGFydGljbGUiOiIifSx7ImZhbWlseSI6Ikh1byIsImdpdmVuIjoiTWljaGFlbCBILiIsInBhcnNlLW5hbWVzIjpmYWxzZSwiZHJvcHBpbmctcGFydGljbGUiOiIiLCJub24tZHJvcHBpbmctcGFydGljbGUiOiIifSx7ImZhbWlseSI6IlNhbHZhdGkiLCJnaXZlbiI6IkVkdWFyZG8iLCJwYXJzZS1uYW1lcyI6ZmFsc2UsImRyb3BwaW5nLXBhcnRpY2xlIjoiIiwibm9uLWRyb3BwaW5nLXBhcnRpY2xlIjoiIn0seyJmYW1pbHkiOiJCcmllbiIsImdpdmVuIjoiV2lsbGlhbSIsInBhcnNlLW5hbWVzIjpmYWxzZSwiZHJvcHBpbmctcGFydGljbGUiOiIiLCJub24tZHJvcHBpbmctcGFydGljbGUiOiIifSx7ImZhbWlseSI6IkJhbnNhbCIsImdpdmVuIjoiTWFuanVsYSIsInBhcnNlLW5hbWVzIjpmYWxzZSwiZHJvcHBpbmctcGFydGljbGUiOiIiLCJub24tZHJvcHBpbmctcGFydGljbGUiOiIifV0sImNvbnRhaW5lci10aXRsZSI6IlRoZSBKb3VybmFsIG9mIEFydGhyb3BsYXN0eSIsImFjY2Vzc2VkIjp7ImRhdGUtcGFydHMiOltbMjAyMiw0LDIwXV19LCJET0kiOiIxMC4xMDE2LzA4ODMtNTQwMyg5Mik5MDA1Ni1WIiwiSVNTTiI6IjA4ODMtNTQwMyIsIlBNSUQiOiIxNDAyOTUwIiwiVVJMIjoiaHR0cDovL3d3dy5hcnRocm9wbGFzdHlqb3VybmFsLm9yZy9hcnRpY2xlLzA4ODM1NDAzOTI5MDA1NlYvZnVsbHRleHQiLCJpc3N1ZWQiOnsiZGF0ZS1wYXJ0cyI6W1sxOTkyLDksMV1dfSwicGFnZSI6IjMxNS0zMjMiLCJhYnN0cmFjdCI6IjxoMj5BYnN0cmFjdDwvaDI+PHA+U2V2ZW50eS1vbmUgY2VtZW50ZWQgdG90YWwgaGlwIGFydGhyb3BsYXN0aWVzIChUSEFzKSB3ZXJlIHJldmlld2VkIGZvbGxvd2luZyByZW1vdmFsIG9mIHRoZSBhbGwtdGl0YW5pdW0gYWxsb3kgZmVtb3JhbCBzdGVtLiBGaWZ0eS1vbmUgaGlwcyB3ZXJlIHByaW1hcnkgYXJ0aHJvcGxhc3RpZXMgdGhhdCBmYWlsZWQgZHVlIHRvIGFzZXB0aWMgbG9vc2VuaW5nLCA4IHdlcmUgcHJldmlvdXMgcmV2aXNpb25zIHdpdGggYXNlcHRpYyBsb29zZW5pbmcsIGFuZCAxMiB3ZXJlIHJlbW92ZWQgZm9yIGluZmVjdGlvbi4gVGhlIGF2ZXJhZ2UgZHVyYXRpb24gb2Ygc2VydmljZSBmb3IgdGhlIHRocmVlIGdyb3VwcyB3YXMgNC41IHllYXJzLCA1LjAgeWVhcnMsIGFuZCAzLjcgeWVhcnMsIHJlc3BlY3RpdmVseS4gRmVtb3JhbCBib25lIGxvc3MgaW4gYXNlcHRpY2FsbHkgbG9vc2UsIHByaW1hcnkgVEhBIHdhcyBncmFkZWQgYXMgc2V2ZXJlIGluIDUxJSwgbW9kZXJhdGUgaW4gMjQlLCBhbmQgbWlsZCBpbiAyMCUuIEZlbW9yYWwgZW5kb3N0ZW9seXNpcyB3YXMgcHJlc2VudCBpbiA5NCUsIHdoaWxlIGFjZXRhYnVsYXIgb3N0ZW9seXNpcyB3YXMgc2VlbiBpbiA2JS4gSGlzdG9sb2dpY2FsIGV2YWx1YXRpb24gb2YgdGlzc3VlcyBmcm9tIGZhaWxlZCBwcmltYXJ5IGFydGhyb3BsYXN0aWVzIHJldmVhbGVkIHBvbHltZXRoeWwgbWV0aGFjcnlsYXRlIGRlYnJpcyBpbiA3NSUgb2YgY2FzZXMsIHBvbHlldGh5bGVuZSBkZWJyaXMgaW4gODAlLCBtZXRhbCBkZWJyaXMgaW4gNzUlLCBhbmQgY2hyb25pYyBpbmZsYW1tYXRvcnkgY2VsbHMgaW4gYWxsIGNhc2VzLiBNZXRhbGxpYyBkZWJyaXMgd2FzIG5vdCBzZWVuIGluIHRoZSBmYWlsZWQgcmV2aXNpb24gY2FzZXMgYW5kIGluIG9ubHkgMTclIG9mIHRoZSBpbmZlY3RlZCBjYXNlcy4gRXhhbWluYXRpb24gb2YgcmV0cmlldmVkIGZlbW9yYWwgY29tcG9uZW50cyByZXZlYWxlZCBidXJuaXNoaW5nIG9mIHRoZSBoZWFkIGluIGFsbCBjYXNlcywgd2hpbGUgNzElIG9mIHN0ZW1zIHdpdGggYXNlcHRpYyBsb29zZW5pbmcgd2VyZSBhYnJhZGVkIGZyb20gdGhlIGNlbWVudC4gTWV0YWwgbGV2ZWxzIGZyb20gMTIgY2FzZXMgYXZlcmFnZWQgMiwxMTEgbWcvZyBvZiBkcnkgdGlzc3VlIChyYW5nZSwgNjDigJMxMSw4MjMpOyBzeW5vdmlhbCBmbHVpZCBsZXZlbHMgZnJvbSA4IG90aGVyIGNhc2VzIGF2ZXJhZ2VkIDEwNiBtZy9sIChyYW5nZSwgMjLigJMzNDApLiBXaGlsZSBpdCBpcyBub3QgY2VydGFpbiB3aGV0aGVyIG1ldGFsbGljIHBhcnRpY2xlcyBhcmUgYSBwcmltYXJ5IGNhdXNlIG9mIGxvb3NlbmluZyBvciBhcmUgZ2VuZXJhdGVkIHNlY29uZGFyaWx5LCB0aGVpciBwcmVzZW5jZSBzZWVtcyB0byBhY2NlbGVyYXRlIGJvbmUgbG9zcyBhbmQgbG9vc2VuaW5nLjwvcD4iLCJwdWJsaXNoZXIiOiJFbHNldmllciIsImlzc3VlIjoiMyIsInZvbHVtZSI6IjciLCJjb250YWluZXItdGl0bGUtc2hvcnQiOiJKIEFydGhyb3BsYXN0eSJ9LCJpc1RlbXBvcmFyeSI6ZmFsc2V9XX0=&quot;,&quot;citationItems&quot;:[{&quot;id&quot;:&quot;30a0db09-8757-34bd-b37d-f7082ed60990&quot;,&quot;itemData&quot;:{&quot;type&quot;:&quot;article-journal&quot;,&quot;id&quot;:&quot;30a0db09-8757-34bd-b37d-f7082ed60990&quot;,&quot;title&quot;:&quot;Titanium wear debris in failed cemented total hip arthroplasty: An analysis of 71 cases&quot;,&quot;author&quot;:[{&quot;family&quot;:&quot;Buly&quot;,&quot;given&quot;:&quot;Robert L.&quot;,&quot;parse-names&quot;:false,&quot;dropping-particle&quot;:&quot;&quot;,&quot;non-dropping-particle&quot;:&quot;&quot;},{&quot;family&quot;:&quot;Huo&quot;,&quot;given&quot;:&quot;Michael H.&quot;,&quot;parse-names&quot;:false,&quot;dropping-particle&quot;:&quot;&quot;,&quot;non-dropping-particle&quot;:&quot;&quot;},{&quot;family&quot;:&quot;Salvati&quot;,&quot;given&quot;:&quot;Eduardo&quot;,&quot;parse-names&quot;:false,&quot;dropping-particle&quot;:&quot;&quot;,&quot;non-dropping-particle&quot;:&quot;&quot;},{&quot;family&quot;:&quot;Brien&quot;,&quot;given&quot;:&quot;William&quot;,&quot;parse-names&quot;:false,&quot;dropping-particle&quot;:&quot;&quot;,&quot;non-dropping-particle&quot;:&quot;&quot;},{&quot;family&quot;:&quot;Bansal&quot;,&quot;given&quot;:&quot;Manjula&quot;,&quot;parse-names&quot;:false,&quot;dropping-particle&quot;:&quot;&quot;,&quot;non-dropping-particle&quot;:&quot;&quot;}],&quot;container-title&quot;:&quot;The Journal of Arthroplasty&quot;,&quot;accessed&quot;:{&quot;date-parts&quot;:[[2022,4,20]]},&quot;DOI&quot;:&quot;10.1016/0883-5403(92)90056-V&quot;,&quot;ISSN&quot;:&quot;0883-5403&quot;,&quot;PMID&quot;:&quot;1402950&quot;,&quot;URL&quot;:&quot;http://www.arthroplastyjournal.org/article/088354039290056V/fulltext&quot;,&quot;issued&quot;:{&quot;date-parts&quot;:[[1992,9,1]]},&quot;page&quot;:&quot;315-323&quot;,&quot;abstract&quot;:&quot;&lt;h2&gt;Abstract&lt;/h2&gt;&lt;p&gt;Seventy-one cemented total hip arthroplasties (THAs) were reviewed following removal of the all-titanium alloy femoral stem. Fifty-one hips were primary arthroplasties that failed due to aseptic loosening, 8 were previous revisions with aseptic loosening, and 12 were removed for infection. The average duration of service for the three groups was 4.5 years, 5.0 years, and 3.7 years, respectively. Femoral bone loss in aseptically loose, primary THA was graded as severe in 51%, moderate in 24%, and mild in 20%. Femoral endosteolysis was present in 94%, while acetabular osteolysis was seen in 6%. Histological evaluation of tissues from failed primary arthroplasties revealed polymethyl methacrylate debris in 75% of cases, polyethylene debris in 80%, metal debris in 75%, and chronic inflammatory cells in all cases. Metallic debris was not seen in the failed revision cases and in only 17% of the infected cases. Examination of retrieved femoral components revealed burnishing of the head in all cases, while 71% of stems with aseptic loosening were abraded from the cement. Metal levels from 12 cases averaged 2,111 mg/g of dry tissue (range, 60–11,823); synovial fluid levels from 8 other cases averaged 106 mg/l (range, 22–340). While it is not certain whether metallic particles are a primary cause of loosening or are generated secondarily, their presence seems to accelerate bone loss and loosening.&lt;/p&gt;&quot;,&quot;publisher&quot;:&quot;Elsevier&quot;,&quot;issue&quot;:&quot;3&quot;,&quot;volume&quot;:&quot;7&quot;,&quot;container-title-short&quot;:&quot;J Arthroplasty&quot;},&quot;isTemporary&quot;:false}]},{&quot;citationID&quot;:&quot;MENDELEY_CITATION_cede8aef-3e55-42b5-b15d-5a62afaac758&quot;,&quot;properties&quot;:{&quot;noteIndex&quot;:0},&quot;isEdited&quot;:false,&quot;manualOverride&quot;:{&quot;isManuallyOverridden&quot;:false,&quot;citeprocText&quot;:&quot;[3]&quot;,&quot;manualOverrideText&quot;:&quot;&quot;},&quot;citationTag&quot;:&quot;MENDELEY_CITATION_v3_eyJjaXRhdGlvbklEIjoiTUVOREVMRVlfQ0lUQVRJT05fY2VkZThhZWYtM2U1NS00MmI1LWIxNWQtNWE2MmFmYWFjNzU4IiwicHJvcGVydGllcyI6eyJub3RlSW5kZXgiOjB9LCJpc0VkaXRlZCI6ZmFsc2UsIm1hbnVhbE92ZXJyaWRlIjp7ImlzTWFudWFsbHlPdmVycmlkZGVuIjpmYWxzZSwiY2l0ZXByb2NUZXh0IjoiWzNdIiwibWFudWFsT3ZlcnJpZGVUZXh0IjoiIn0sImNpdGF0aW9uSXRlbXMiOlt7ImlkIjoiNmM2YTA1ZGMtNjA3ZC0zYzcyLWFmYTItYzhiNTMxN2ZmNzg0IiwiaXRlbURhdGEiOnsidHlwZSI6ImFydGljbGUtam91cm5hbCIsImlkIjoiNmM2YTA1ZGMtNjA3ZC0zYzcyLWFmYTItYzhiNTMxN2ZmNzg0IiwidGl0bGUiOiJBIG5ldyBsb29rIGF0IGJpb21lZGljYWwgVGktYmFzZWQgc2hhcGUgbWVtb3J5IGFsbG95cyIsImF1dGhvciI6W3siZmFtaWx5IjoiQmllc2lla2llcnNraSIsImdpdmVuIjoiQXJuZSIsInBhcnNlLW5hbWVzIjpmYWxzZSwiZHJvcHBpbmctcGFydGljbGUiOiIiLCJub24tZHJvcHBpbmctcGFydGljbGUiOiIifSx7ImZhbWlseSI6IldhbmciLCJnaXZlbiI6IkphbWVzIiwicGFyc2UtbmFtZXMiOmZhbHNlLCJkcm9wcGluZy1wYXJ0aWNsZSI6IiIsIm5vbi1kcm9wcGluZy1wYXJ0aWNsZSI6IiJ9LHsiZmFtaWx5IjoiQWJkZWwtSGFkeSBHZXByZWVsIiwiZ2l2ZW4iOiJNb2hhbWVkIiwicGFyc2UtbmFtZXMiOmZhbHNlLCJkcm9wcGluZy1wYXJ0aWNsZSI6IiIsIm5vbi1kcm9wcGluZy1wYXJ0aWNsZSI6IiJ9LHsiZmFtaWx5IjoiV2VuIiwiZ2l2ZW4iOiJDdWllIiwicGFyc2UtbmFtZXMiOmZhbHNlLCJkcm9wcGluZy1wYXJ0aWNsZSI6IiIsIm5vbi1kcm9wcGluZy1wYXJ0aWNsZSI6IiJ9XSwiY29udGFpbmVyLXRpdGxlIjoiQWN0YSBCaW9tYXRlcmlhbGlhIiwiYWNjZXNzZWQiOnsiZGF0ZS1wYXJ0cyI6W1syMDIyLDQsMjBdXX0sIkRPSSI6IjEwLjEwMTYvSi5BQ1RCSU8uMjAxMi4wMS4wMTgiLCJJU1NOIjoiMTc0Mi03MDYxIiwiUE1JRCI6IjIyMzI2Nzg2IiwiaXNzdWVkIjp7ImRhdGUtcGFydHMiOltbMjAxMiw1LDFdXX0sInBhZ2UiOiIxNjYxLTE2NjkiLCJhYnN0cmFjdCI6IlNoYXBlIG1lbW9yeSBhbGxveXMgKFNNQXMpIGFyZSBtYXRlcmlhbHMgdGhhdCBleGhpYml0IGEgZGlzdGluY3QgdGhlcm1vbWVjaGFuaWNhbCBjb3VwbGluZywgb25lIHRoYXQgZ2l2ZXMgcmlzZSB0byBhIHdpZGUgdmFyaWV0eSBvZiBhcHBsaWNhdGlvbnMgYWNyb3NzIGEgYnJvYWQgcmFuZ2Ugb2YgZmllbGRzLiBPbmUgb2YgdGhlIG1vc3Qgc3VjY2Vzc2Z1bCByb2xlcyBpcyBpbiB0aGUgY29uc3RydWN0aW9uIG9mIG5vdmVsIG1lZGljYWwgaW1wbGFudHMuIFVuZm9ydHVuYXRlbHksIGNvbmNlcm5zIGhhdmUgYmVlbiByYWlzZWQgYWJvdXQgdGhlIGJpb2NvbXBhdGliaWxpdHkgb2YgdGhlIG1vc3QgcG9wdWxhciBTTUEsIG5pdGlub2wgKE5pVGkpLCBkdWUgdG8gdGhlIGtub3duIHRveGljLCBhbGxlcmdlbmljIGFuZCBjYXJjaW5vZ2VuaWMgcHJvcGVydGllcyBvZiBuaWNrZWwuIEdpdmVuIHRoZSB1bmlxdWUgY2FwYWJpbGl0aWVzIG9mIFNNQXMsIGl0IGlzIGFwcGFyZW50IHRoYXQgdGhlcmUgaXMgYSBuZWVkIGZvciBhIG5ldyBjbGFzcyBvZiBhbGxveXMgLSBhbGxveXMgdGhhdCBleGhpYml0IHRoZSBmdWxsIHJhbmdlIG9mIHNoYXBlIG1lbW9yeSBhYmlsaXRpZXMgeWV0IGFyZSBhbHNvIGZyZWUgb2YgYW55IHVuZGVzaXJhYmxlIHNpZGUgZWZmZWN0cy4gVGhpcyBhcnRpY2xlIHJldmlld3MgdGhlIGxpdGVyYXR1cmUgc3Vycm91bmRpbmcgU01BcyBhbmQgaWRlbnRpZmllcyB0aGUgbWV0YWxzIFRpLCBBdSwgU24sIFRhLCBOYiwgUnUgYW5kIFpyIGFzIGNhbmRpZGF0ZXMgZm9yIHRoZSBwcm9kdWN0aW9uIG9mIHRob3JvdWdobHkgYmlvY29tcGF0aWJsZSBTTUFzLiBIZiBhbmQgUmUgYXJlIGFsc28gcHJvbWlzaW5nLCB0aG91Z2ggbW9yZSByZXNlYXJjaCBpcyBuZWNlc3NhcnkgYmVmb3JlIGEgZGVmaW5pdGl2ZSBzdGF0ZW1lbnQgY2FuIGJlIG1hZGUuIEZ1cnRoZXIsIHRoZSBUaS0oVGEsTmIpLShacixIZikgYWxsb3kgc3lzdGVtIGlzIHBhcnRpY3VsYXJseSBzdWl0ZWQgZm9yIG9ydGhvcGFlZGljIGltcGxhbnRzIGR1ZSB0byBhIHJlZHVjZWQgWW91bmcncyBtb2R1bHVzLiBIb3dldmVyLCBjb25jZXJucyBvdmVyIHRoaXMgc3lzdGVtJ3Mgc2hhcGUgbWVtb3J5IHByb3BlcnRpZXMgZXhpc3QsIGFuZCBzaG91bGQgYmUgdGFrZW4gaW50byBjb25zaWRlcmF0aW9uLiBBbHRlcm5hdGUgYWxsb3kgc3lzdGVtcyB0aGF0IGRlbW9uc3RyYXRlIGhpZ2hlciBidWxrIG1vZHVsaSBtYXkgc3RpbGwgYmUgY29uc2lkZXJlZCwgaG93ZXZlciwgaWYgdGhleSBhcmUgZm9ybWVkIGludG8gYSBwb3JvdXMgc3RydWN0dXJlLiBEdWUgdG8gdGhlIG5hdHVyZSBvZiB0aGUgYWxsb3lpbmcgY29tcG9uZW50cywgYmxlbmRlZCBlbGVtZW50YWwgcG93ZGVyIG1ldGFsbHVyZ3kgaXMgcmVjb21tZW5kZWQgZm9yIHRoZSBtYW51ZmFjdHVyZSBvZiB0aGVzZSBhbGxveXMsIHBhcnRpY3VsYXJseSBkdWUgdG8gdGhlIGVhc2Ugd2l0aCB3aGljaCBpdCBtYXkgYmUgYWRhcHRlZCB0byB0aGUgZm9ybWF0aW9uIG9mIHBvcm91cyBhbGxveXMuIMKpIDIwMTIgQWN0YSBNYXRlcmlhbGlhIEluYy4gUHVibGlzaGVkIGJ5IEVsc2V2aWVyIEx0ZC4gQWxsIHJpZ2h0cyByZXNlcnZlZC4iLCJwdWJsaXNoZXIiOiJFbHNldmllciIsImlzc3VlIjoiNSIsInZvbHVtZSI6IjgiLCJjb250YWluZXItdGl0bGUtc2hvcnQiOiJBY3RhIEJpb21hdGVyIn0sImlzVGVtcG9yYXJ5IjpmYWxzZX1dfQ==&quot;,&quot;citationItems&quot;:[{&quot;id&quot;:&quot;6c6a05dc-607d-3c72-afa2-c8b5317ff784&quot;,&quot;itemData&quot;:{&quot;type&quot;:&quot;article-journal&quot;,&quot;id&quot;:&quot;6c6a05dc-607d-3c72-afa2-c8b5317ff784&quot;,&quot;title&quot;:&quot;A new look at biomedical Ti-based shape memory alloys&quot;,&quot;author&quot;:[{&quot;family&quot;:&quot;Biesiekierski&quot;,&quot;given&quot;:&quot;Arne&quot;,&quot;parse-names&quot;:false,&quot;dropping-particle&quot;:&quot;&quot;,&quot;non-dropping-particle&quot;:&quot;&quot;},{&quot;family&quot;:&quot;Wang&quot;,&quot;given&quot;:&quot;James&quot;,&quot;parse-names&quot;:false,&quot;dropping-particle&quot;:&quot;&quot;,&quot;non-dropping-particle&quot;:&quot;&quot;},{&quot;family&quot;:&quot;Abdel-Hady Gepreel&quot;,&quot;given&quot;:&quot;Mohamed&quot;,&quot;parse-names&quot;:false,&quot;dropping-particle&quot;:&quot;&quot;,&quot;non-dropping-particle&quot;:&quot;&quot;},{&quot;family&quot;:&quot;Wen&quot;,&quot;given&quot;:&quot;Cuie&quot;,&quot;parse-names&quot;:false,&quot;dropping-particle&quot;:&quot;&quot;,&quot;non-dropping-particle&quot;:&quot;&quot;}],&quot;container-title&quot;:&quot;Acta Biomaterialia&quot;,&quot;accessed&quot;:{&quot;date-parts&quot;:[[2022,4,20]]},&quot;DOI&quot;:&quot;10.1016/J.ACTBIO.2012.01.018&quot;,&quot;ISSN&quot;:&quot;1742-7061&quot;,&quot;PMID&quot;:&quot;22326786&quot;,&quot;issued&quot;:{&quot;date-parts&quot;:[[2012,5,1]]},&quot;page&quot;:&quot;1661-1669&quot;,&quot;abstract&quot;:&quot;Shape memory alloys (SMAs) are materials that exhibit a distinct thermomechanical coupling, one that gives rise to a wide variety of applications across a broad range of fields. One of the most successful roles is in the construction of novel medical implants. Unfortunately, concerns have been raised about the biocompatibility of the most popular SMA, nitinol (NiTi), due to the known toxic, allergenic and carcinogenic properties of nickel. Given the unique capabilities of SMAs, it is apparent that there is a need for a new class of alloys - alloys that exhibit the full range of shape memory abilities yet are also free of any undesirable side effects. This article reviews the literature surrounding SMAs and identifies the metals Ti, Au, Sn, Ta, Nb, Ru and Zr as candidates for the production of thoroughly biocompatible SMAs. Hf and Re are also promising, though more research is necessary before a definitive statement can be made. Further, the Ti-(Ta,Nb)-(Zr,Hf) alloy system is particularly suited for orthopaedic implants due to a reduced Young's modulus. However, concerns over this system's shape memory properties exist, and should be taken into consideration. Alternate alloy systems that demonstrate higher bulk moduli may still be considered, however, if they are formed into a porous structure. Due to the nature of the alloying components, blended elemental powder metallurgy is recommended for the manufacture of these alloys, particularly due to the ease with which it may be adapted to the formation of porous alloys. © 2012 Acta Materialia Inc. Published by Elsevier Ltd. All rights reserved.&quot;,&quot;publisher&quot;:&quot;Elsevier&quot;,&quot;issue&quot;:&quot;5&quot;,&quot;volume&quot;:&quot;8&quot;,&quot;container-title-short&quot;:&quot;Acta Biomater&quot;},&quot;isTemporary&quot;:false}]},{&quot;citationID&quot;:&quot;MENDELEY_CITATION_b0eea34b-70bf-46f4-8c3d-7de89b7b3112&quot;,&quot;properties&quot;:{&quot;noteIndex&quot;:0},&quot;isEdited&quot;:false,&quot;manualOverride&quot;:{&quot;isManuallyOverridden&quot;:false,&quot;citeprocText&quot;:&quot;[4]–[6]&quot;,&quot;manualOverrideText&quot;:&quot;&quot;},&quot;citationTag&quot;:&quot;MENDELEY_CITATION_v3_eyJjaXRhdGlvbklEIjoiTUVOREVMRVlfQ0lUQVRJT05fYjBlZWEzNGItNzBiZi00NmY0LThjM2QtN2RlODliN2IzMTEyIiwicHJvcGVydGllcyI6eyJub3RlSW5kZXgiOjB9LCJpc0VkaXRlZCI6ZmFsc2UsIm1hbnVhbE92ZXJyaWRlIjp7ImlzTWFudWFsbHlPdmVycmlkZGVuIjpmYWxzZSwiY2l0ZXByb2NUZXh0IjoiWzRd4oCTWzZdIiwibWFudWFsT3ZlcnJpZGVUZXh0IjoiIn0sImNpdGF0aW9uSXRlbXMiOlt7ImlkIjoiNThhMTE5NWItMzg1ZS0zNjY1LTk5NWQtNWRkYTgzYjZhY2U4IiwiaXRlbURhdGEiOnsidHlwZSI6ImFydGljbGUtam91cm5hbCIsImlkIjoiNThhMTE5NWItMzg1ZS0zNjY1LTk5NWQtNWRkYTgzYjZhY2U4IiwidGl0bGUiOiJDb21wb3NpdGlvbiBvcHRpbWl6YXRpb24gb2YgbG93IG1vZHVsdXMgYW5kIGhpZ2gtc3RyZW5ndGggVGlOYi1iYXNlZCBhbGxveXMgZm9yIGJpb21lZGljYWwgYXBwbGljYXRpb25zIiwiYXV0aG9yIjpbeyJmYW1pbHkiOiJPa3Vsb3YiLCJnaXZlbiI6IkkuIiwicGFyc2UtbmFtZXMiOmZhbHNlLCJkcm9wcGluZy1wYXJ0aWNsZSI6InYuIiwibm9uLWRyb3BwaW5nLXBhcnRpY2xlIjoiIn0seyJmYW1pbHkiOiJWb2xlZ292IiwiZ2l2ZW4iOiJBLiBTLiIsInBhcnNlLW5hbWVzIjpmYWxzZSwiZHJvcHBpbmctcGFydGljbGUiOiIiLCJub24tZHJvcHBpbmctcGFydGljbGUiOiIifSx7ImZhbWlseSI6IkF0dGFyIiwiZ2l2ZW4iOiJILiIsInBhcnNlLW5hbWVzIjpmYWxzZSwiZHJvcHBpbmctcGFydGljbGUiOiIiLCJub24tZHJvcHBpbmctcGFydGljbGUiOiIifSx7ImZhbWlseSI6IkLDtm5pc2NoIiwiZ2l2ZW4iOiJNLiIsInBhcnNlLW5hbWVzIjpmYWxzZSwiZHJvcHBpbmctcGFydGljbGUiOiIiLCJub24tZHJvcHBpbmctcGFydGljbGUiOiIifSx7ImZhbWlseSI6IkVodGVtYW0tSGFnaGlnaGkiLCJnaXZlbiI6IlMuIiwicGFyc2UtbmFtZXMiOmZhbHNlLCJkcm9wcGluZy1wYXJ0aWNsZSI6IiIsIm5vbi1kcm9wcGluZy1wYXJ0aWNsZSI6IiJ9LHsiZmFtaWx5IjoiQ2FsaW4iLCJnaXZlbiI6Ik0uIiwicGFyc2UtbmFtZXMiOmZhbHNlLCJkcm9wcGluZy1wYXJ0aWNsZSI6IiIsIm5vbi1kcm9wcGluZy1wYXJ0aWNsZSI6IiJ9LHsiZmFtaWx5IjoiRWNrZXJ0IiwiZ2l2ZW4iOiJKLiIsInBhcnNlLW5hbWVzIjpmYWxzZSwiZHJvcHBpbmctcGFydGljbGUiOiIiLCJub24tZHJvcHBpbmctcGFydGljbGUiOiIifV0sImNvbnRhaW5lci10aXRsZSI6IkpvdXJuYWwgb2YgdGhlIE1lY2hhbmljYWwgQmVoYXZpb3Igb2YgQmlvbWVkaWNhbCBNYXRlcmlhbHMiLCJjb250YWluZXItdGl0bGUtc2hvcnQiOiJKIE1lY2ggQmVoYXYgQmlvbWVkIE1hdGVyIiwiYWNjZXNzZWQiOnsiZGF0ZS1wYXJ0cyI6W1syMDIyLDQsMjVdXX0sIkRPSSI6IjEwLjEwMTYvSi5KTUJCTS4yMDE2LjEwLjAxMyIsIklTU04iOiIxNzUxLTYxNjEiLCJQTUlEIjoiMjc4MTA3MzMiLCJpc3N1ZWQiOnsiZGF0ZS1wYXJ0cyI6W1syMDE3LDEsMV1dfSwicGFnZSI6Ijg2Ni04NzEiLCJhYnN0cmFjdCI6IlRoZSBlZmZlY3Qgb2YgY2hlbWljYWwgY29tcG9zaXRpb24gb24gbWljcm9zdHJ1Y3R1cmUgYW5kIHRlbnNpbGUgcHJvcGVydGllcyBvZiBhIHNlcmllcyBvZiBsb3cgbW9kdWx1cyBUaS1OYi1DdS1OaS1BbCBhbGxveXMgd2FzIHN0dWRpZWQuIFRoZXNlIGFsbG95cyBjb25zaXN0IG9mIHByaW1hcnkgbWljcm9tZXRlci1zaXplZCDOsi1UaSBkZW5kcml0ZXMgc3Vycm91bmRlZCBieSBpbnRlcm1ldGFsbGljIHBoYXNlcy4gVGhlIG1vcnBob2xvZ3kgb2YgdGhlIGludGVybWV0YWxsaWMgcGhhc2VzIGlzIHN0cm9uZ2x5IGFmZmVjdGVkIGJ5IGNvbXBvc2l0aW9uLiBEdWUgdG8gdGhlIGNvbXBvc2l0ZSBtaWNyb3N0cnVjdHVyZSwgdGhlIGFsbG95cyBleGhpYml0IGEgbG93IFlvdW5nJ3MgbW9kdWx1cyAoNzfigJM4NCBHUGEpIHRvZ2V0aGVyIHdpdGggYSBoaWdoIHlpZWxkIHN0cmVuZ3RoIG9mIGFib3V0IDEwMDAgTVBhIGFzIHdlbGwgYXMgbW9kZXJhdGUgdGVuc2lsZSBkdWN0aWxpdHkuIFRoZSByZXN1bHRzIGRlbW9uc3RyYXRlIHRoYXQgY29tcGxldGUgc3Vic3RpdHV0aW9uIG9mIEFsIGJ5IFRpIHJlZHVjZXMgdGhlIFlvdW5nJ3MgbW9kdWx1cyBieSA1JS4gSW5jcmVhc2luZyBOYiBjb250ZW50IGF0IHRoZSBleHBlbnNlIG9mIFRpIGNhdXNlcyBhIHNpZ25pZmljYW50IGltcHJvdmVtZW50IG9mIHRlbnNpbGUgZHVjdGlsaXR5LiIsInB1Ymxpc2hlciI6IkVsc2V2aWVyIiwidm9sdW1lIjoiNjUifSwiaXNUZW1wb3JhcnkiOmZhbHNlfSx7ImlkIjoiMjEyMGJlNzktNzViOC0zOTE5LTk1Y2YtMzAwM2JkMzk0YjA0IiwiaXRlbURhdGEiOnsidHlwZSI6ImFydGljbGUtam91cm5hbCIsImlkIjoiMjEyMGJlNzktNzViOC0zOTE5LTk1Y2YtMzAwM2JkMzk0YjA0IiwidGl0bGUiOiJBIHRoZXJtby1tZWNoYW5pY2FsIHRyZWF0bWVudCB0byBpbXByb3ZlIHRoZSBzdXBlcmVsYXN0aWMgcGVyZm9ybWFuY2VzIG9mIGJpb21lZGljYWwgVGktMjZOYiBhbmQgVGktMjBOYi02WnIgKGF0LiUpIGFsbG95cyIsImF1dGhvciI6W3siZmFtaWx5IjoiU3VuIiwiZ2l2ZW4iOiJGLiIsInBhcnNlLW5hbWVzIjpmYWxzZSwiZHJvcHBpbmctcGFydGljbGUiOiIiLCJub24tZHJvcHBpbmctcGFydGljbGUiOiIifSx7ImZhbWlseSI6IkhhbyIsImdpdmVuIjoiWS4gTC4iLCJwYXJzZS1uYW1lcyI6ZmFsc2UsImRyb3BwaW5nLXBhcnRpY2xlIjoiIiwibm9uLWRyb3BwaW5nLXBhcnRpY2xlIjoiIn0seyJmYW1pbHkiOiJOb3dhayIsImdpdmVuIjoiUy4iLCJwYXJzZS1uYW1lcyI6ZmFsc2UsImRyb3BwaW5nLXBhcnRpY2xlIjoiIiwibm9uLWRyb3BwaW5nLXBhcnRpY2xlIjoiIn0seyJmYW1pbHkiOiJHbG9yaWFudCIsImdpdmVuIjoiVC4iLCJwYXJzZS1uYW1lcyI6ZmFsc2UsImRyb3BwaW5nLXBhcnRpY2xlIjoiIiwibm9uLWRyb3BwaW5nLXBhcnRpY2xlIjoiIn0seyJmYW1pbHkiOiJMYWhldXJ0ZSIsImdpdmVuIjoiUC4iLCJwYXJzZS1uYW1lcyI6ZmFsc2UsImRyb3BwaW5nLXBhcnRpY2xlIjoiIiwibm9uLWRyb3BwaW5nLXBhcnRpY2xlIjoiIn0seyJmYW1pbHkiOiJQcmltYSIsImdpdmVuIjoiRi4iLCJwYXJzZS1uYW1lcyI6ZmFsc2UsImRyb3BwaW5nLXBhcnRpY2xlIjoiIiwibm9uLWRyb3BwaW5nLXBhcnRpY2xlIjoiIn1dLCJjb250YWluZXItdGl0bGUiOiJKb3VybmFsIG9mIHRoZSBtZWNoYW5pY2FsIGJlaGF2aW9yIG9mIGJpb21lZGljYWwgbWF0ZXJpYWxzIiwiY29udGFpbmVyLXRpdGxlLXNob3J0IjoiSiBNZWNoIEJlaGF2IEJpb21lZCBNYXRlciIsImFjY2Vzc2VkIjp7ImRhdGUtcGFydHMiOltbMjAyMiw0LDI1XV19LCJET0kiOiIxMC4xMDE2L0ouSk1CQk0uMjAxMS4wNi4wMDMiLCJJU1NOIjoiMTg3OC0wMTgwIiwiUE1JRCI6IjIyMDk4ODg1IiwiVVJMIjoiaHR0cHM6Ly9wdWJtZWQubmNiaS5ubG0ubmloLmdvdi8yMjA5ODg4NS8iLCJpc3N1ZWQiOnsiZGF0ZS1wYXJ0cyI6W1syMDExLDExXV19LCJwYWdlIjoiMTg2NC0xODcyIiwiYWJzdHJhY3QiOiJBIGZsYXNoLXRoZXJtYWwgdHJlYXRtZW50IHRlY2huaXF1ZSBoYXMgYmVlbiBkZXZlbG9wZWQgdmVyeSByZWNlbnRseSB0byBpbXByb3ZlIGJvdGggdGhlIGNyaXRpY2FsIHN0cmVzcyB0byBpbmR1Y2UgdGhlIG1hcnRlbnNpdGljIHRyYW5zZm9ybWF0aW9uIChNVCkgYW5kIHRoZSByZWNvdmVyYWJsZSBkZWZvcm1hdGlvbiBvZiB0aGUgbWV0YXN0YWJsZSDOsiB0eXBlIHRpdGFuaXVtIGFsbG95cy4gSW4gdGhpcyBwYXBlciwgdGhpcyBzdHJhdGVneSBpcyBhcHBsaWVkIHRvIGJvdGggVGktMjZOYiBhbmQgVGktMjBOYi02WnIgKGF0LiUpIGFsbG95cy4gU2luY2UgYm90aCBhbGxveXMgaGF2ZSBpZGVudGljYWwgbWFydGVuc2l0ZSBzdGFydCAoTXMpIHRlbXBlcmF0dXJlLCBpdCBtYWtlcyBwb3NzaWJsZSB0byBpbnZlc3RpZ2F0ZSB0aGUgZWZmZWN0IG9mIFpyIG9uIG1lY2hhbmljYWwgcHJvcGVydGllcyBhZnRlciB0aGUgZmxhc2gtdGhlcm1hbCB0cmVhdG1lbnQuIEl0IGlzIGNsZWFybHkgc2hvd24gdGhhdCBhIGZsYXNoIHRyZWF0bWVudCBvZiAzNjAgcyBhdCA4NzMgSyBvbiBoZWF2aWx5IGNvbGQtcm9sbGVkIHNhbXBsZXMgcmVzdWx0cyBpbiBnb29kIGJhbGFuY2UgYmV0d2VlbiB0aGUgdGVuc2lsZSBzdHJlbmd0aCwgdGhlIGR1Y3RpbGl0eSBhbmQgdGhlIHJlY292ZXJhYmxlIHN0cmFpbnMuIFN1Y2ggY29udHJpYnV0aW9uIGlzIG1vcmUgc2lnbmlmaWNhbnQgaW4gdGhlIHRlcm5hcnkgYWxsb3kgaW4gd2hpY2ggYmFsYW5jZWQgcHJvcGVydGllcyBjb21iaW5pbmcgaGlnaCBtYXJ0ZW5zaXRpYyBjcml0aWNhbCBzdHJlc3Mgb3ZlciA0MDAgTVBhIGFuZCB0aGUgbGFyZ2UgZnVsbHkgcmVjb3ZlcmFibGUgc3RyYWlucyB1cCB0byAzLjAlIGNhbiBiZSBhY2hpZXZlZC4gVGhlc2UgaW1wcm92ZW1lbnRzIGFyZSBkdWUgdG8gdGhlIGZsYXNoIHRyZWF0bWVudCBlZmZlY3RzLCByZXN1bHRpbmcgaW4gdWx0cmEtZmluZSDOsiBncmFpbnMgd2l0aCBzaXplcyAxLTIgzrxtIHdpdGggbmFuby1zaXplZCDOsSBhbmQgz4kgcGhhc2VzIHByZWNpcGl0YXRpb24gaW4gdGhlIM6yIG1hdHJpeC4gwqkgMjAxMSBFbHNldmllciBMdGQuIiwicHVibGlzaGVyIjoiSiBNZWNoIEJlaGF2IEJpb21lZCBNYXRlciIsImlzc3VlIjoiOCIsInZvbHVtZSI6IjQifSwiaXNUZW1wb3JhcnkiOmZhbHNlfSx7ImlkIjoiOTJmZDA4ZjItOGZjNC0zOWRiLTgxMjYtODhhNDg0Y2Y2ZDkzIiwiaXRlbURhdGEiOnsidHlwZSI6ImFydGljbGUtam91cm5hbCIsImlkIjoiOTJmZDA4ZjItOGZjNC0zOWRiLTgxMjYtODhhNDg0Y2Y2ZDkzIiwidGl0bGUiOiJEZXZlbG9wbWVudCBhbmQgY2hhcmFjdGVyaXphdGlvbiBvZiBOaS1mcmVlIFRpLWJhc2Ugc2hhcGUgbWVtb3J5IGFuZCBzdXBlcmVsYXN0aWMgYWxsb3lzIiwiYXV0aG9yIjpbeyJmYW1pbHkiOiJNaXlhemFraSIsImdpdmVuIjoiUyIsInBhcnNlLW5hbWVzIjpmYWxzZSwiZHJvcHBpbmctcGFydGljbGUiOiIiLCJub24tZHJvcHBpbmctcGFydGljbGUiOiIifSx7ImZhbWlseSI6IktpbSIsImdpdmVuIjoiSFkiLCJwYXJzZS1uYW1lcyI6ZmFsc2UsImRyb3BwaW5nLXBhcnRpY2xlIjoiIiwibm9uLWRyb3BwaW5nLXBhcnRpY2xlIjoiIn0seyJmYW1pbHkiOiJIb3NvZGEiLCJnaXZlbiI6IkgiLCJwYXJzZS1uYW1lcyI6ZmFsc2UsImRyb3BwaW5nLXBhcnRpY2xlIjoiIiwibm9uLWRyb3BwaW5nLXBhcnRpY2xlIjoiIn1dLCJjb250YWluZXItdGl0bGUiOiJNYXRlcmlhbHMgU2NpZW5jZSBhbmQgRW5naW5lZXJpbmcgQSIsImFjY2Vzc2VkIjp7ImRhdGUtcGFydHMiOltbMjAyMiw0LDI1XV19LCJET0kiOiIxMC4xMDE2L2oubXNlYS4yMDA2LjAyLjA1NCIsImlzc3VlZCI6eyJkYXRlLXBhcnRzIjpbWzIwMDZdXX0sInBhZ2UiOiIxOC0yNCIsImFic3RyYWN0IjoiUmVjZW50bHkgdGhlIE5pLWh5cGVyc2Vuc2l0aXZpdHkgYW5kIHRveGljaXR5IG9mIE5pIGhhdmUgc3RpbXVsYXRlZCB0aGUgZGV2ZWxvcG1lbnQgb2YgTmktZnJlZSBzaGFwZSBtZW1vcnkgYWxsb3lzLiBUaGUtVGkgYWxsb3lzIGFyZSB0aGUgbW9zdCBhdHRyYWN0aXZlIGNhbmRpZGF0ZXMgZm9yIGJpb21lZGljYWwgc2hhcGUgbWVtb3J5IGFsbG95cy4gVGktTmItWCAoKSBhbGxveXMgaGF2ZSBiZWVuIGRldmVsb3BlZCBhbmQgdGhlaXIgc2hhcGUgbWVtb3J5IGVmZmVjdCBhbmQgc3VwZXJlbGFzdGljaXR5IHdlcmUgaW52ZXN0aWdhdGVkIHN5c3RlbWF0aWNhbGx5IGJ5IHRoZSBwcmVzZW50IGF1dGhvcnMgZm9yIGFib3V0IDUgeWVhcnMuIEFsdGhvdWdoIHNoYXBlIG1lbW9yeSBlZmZlY3QgYW5kIHN1cGVyZWxhc3RpY2l0eSBvYnNlcnZlZCBpbiB0aGUgVGktTmIgYWxsb3lzLCB0aGUgbG93IGNyaXRpY2FsIHN0cmVzcyBmb3Igc2xpcCBkZWZvcm1hdGlvbiBjYXVzZWQgdGhlIHN1cGVyZWxhc3RpY2l0eSBub3QgdG8gcmV2ZWFsIGEgbGFyZ2Ugc3RyYWluIGF0IHJvb20gdGVtcGVyYXR1cmUuIEhvd2V2ZXIsIGxvdyB0ZW1wZXJhdHVyZSBhbm5lYWxpbmcgYW5kIGFuIGFnaW5nIHRyZWF0bWVudCB3ZXJlIGVmZmVjdGl2ZSBpbiBpbXByb3Zpbmcgc3VwZXJlbGFzdGljaXR5LiBBZGRpdGlvbnMgb2YgYWxsb3lpbmcgZWxlbWVudHMgc3VjaCBhcyBaciwgVGEsIE1vLCBBdSwgUHQgYW5kIEFsIHdlcmUgYWxzbyBlZmZlY3RpdmUgaW4gc3RhYmlsaXppbmcgdGhlIHN1cGVyZWxhc3RpY2l0eS4gSW4gdGhpcyBwYXBlciwgdGhlIGJhc2ljIGNoYXJhY3RlcmlzdGljcyBvZiBUaS1OYiwgVGktTmItWnIsIFRpLU5iLVRhIGFuZCBUaS1OYi1PIGFyZSB0byBiZSBicmllZmx5IHJldmlld2VkIGJhc2VkIG9uIHRoZSByZWNlbnQgd29ya3Mgb2YgdGhlIHByZXNlbnQgYXV0aG9ycy4iLCJpc3N1ZSI6IjQ0MCIsInZvbHVtZSI6IjQzOCIsImNvbnRhaW5lci10aXRsZS1zaG9ydCI6IiJ9LCJpc1RlbXBvcmFyeSI6ZmFsc2V9XX0=&quot;,&quot;citationItems&quot;:[{&quot;id&quot;:&quot;58a1195b-385e-3665-995d-5dda83b6ace8&quot;,&quot;itemData&quot;:{&quot;type&quot;:&quot;article-journal&quot;,&quot;id&quot;:&quot;58a1195b-385e-3665-995d-5dda83b6ace8&quot;,&quot;title&quot;:&quot;Composition optimization of low modulus and high-strength TiNb-based alloys for biomedical applications&quot;,&quot;author&quot;:[{&quot;family&quot;:&quot;Okulov&quot;,&quot;given&quot;:&quot;I.&quot;,&quot;parse-names&quot;:false,&quot;dropping-particle&quot;:&quot;v.&quot;,&quot;non-dropping-particle&quot;:&quot;&quot;},{&quot;family&quot;:&quot;Volegov&quot;,&quot;given&quot;:&quot;A. S.&quot;,&quot;parse-names&quot;:false,&quot;dropping-particle&quot;:&quot;&quot;,&quot;non-dropping-particle&quot;:&quot;&quot;},{&quot;family&quot;:&quot;Attar&quot;,&quot;given&quot;:&quot;H.&quot;,&quot;parse-names&quot;:false,&quot;dropping-particle&quot;:&quot;&quot;,&quot;non-dropping-particle&quot;:&quot;&quot;},{&quot;family&quot;:&quot;Bönisch&quot;,&quot;given&quot;:&quot;M.&quot;,&quot;parse-names&quot;:false,&quot;dropping-particle&quot;:&quot;&quot;,&quot;non-dropping-particle&quot;:&quot;&quot;},{&quot;family&quot;:&quot;Ehtemam-Haghighi&quot;,&quot;given&quot;:&quot;S.&quot;,&quot;parse-names&quot;:false,&quot;dropping-particle&quot;:&quot;&quot;,&quot;non-dropping-particle&quot;:&quot;&quot;},{&quot;family&quot;:&quot;Calin&quot;,&quot;given&quot;:&quot;M.&quot;,&quot;parse-names&quot;:false,&quot;dropping-particle&quot;:&quot;&quot;,&quot;non-dropping-particle&quot;:&quot;&quot;},{&quot;family&quot;:&quot;Eckert&quot;,&quot;given&quot;:&quot;J.&quot;,&quot;parse-names&quot;:false,&quot;dropping-particle&quot;:&quot;&quot;,&quot;non-dropping-particle&quot;:&quot;&quot;}],&quot;container-title&quot;:&quot;Journal of the Mechanical Behavior of Biomedical Materials&quot;,&quot;container-title-short&quot;:&quot;J Mech Behav Biomed Mater&quot;,&quot;accessed&quot;:{&quot;date-parts&quot;:[[2022,4,25]]},&quot;DOI&quot;:&quot;10.1016/J.JMBBM.2016.10.013&quot;,&quot;ISSN&quot;:&quot;1751-6161&quot;,&quot;PMID&quot;:&quot;27810733&quot;,&quot;issued&quot;:{&quot;date-parts&quot;:[[2017,1,1]]},&quot;page&quot;:&quot;866-871&quot;,&quot;abstract&quot;:&quot;The effect of chemical composition on microstructure and tensile properties of a series of low modulus Ti-Nb-Cu-Ni-Al alloys was studied. These alloys consist of primary micrometer-sized β-Ti dendrites surrounded by intermetallic phases. The morphology of the intermetallic phases is strongly affected by composition. Due to the composite microstructure, the alloys exhibit a low Young's modulus (77–84 GPa) together with a high yield strength of about 1000 MPa as well as moderate tensile ductility. The results demonstrate that complete substitution of Al by Ti reduces the Young's modulus by 5%. Increasing Nb content at the expense of Ti causes a significant improvement of tensile ductility.&quot;,&quot;publisher&quot;:&quot;Elsevier&quot;,&quot;volume&quot;:&quot;65&quot;},&quot;isTemporary&quot;:false},{&quot;id&quot;:&quot;2120be79-75b8-3919-95cf-3003bd394b04&quot;,&quot;itemData&quot;:{&quot;type&quot;:&quot;article-journal&quot;,&quot;id&quot;:&quot;2120be79-75b8-3919-95cf-3003bd394b04&quot;,&quot;title&quot;:&quot;A thermo-mechanical treatment to improve the superelastic performances of biomedical Ti-26Nb and Ti-20Nb-6Zr (at.%) alloys&quot;,&quot;author&quot;:[{&quot;family&quot;:&quot;Sun&quot;,&quot;given&quot;:&quot;F.&quot;,&quot;parse-names&quot;:false,&quot;dropping-particle&quot;:&quot;&quot;,&quot;non-dropping-particle&quot;:&quot;&quot;},{&quot;family&quot;:&quot;Hao&quot;,&quot;given&quot;:&quot;Y. L.&quot;,&quot;parse-names&quot;:false,&quot;dropping-particle&quot;:&quot;&quot;,&quot;non-dropping-particle&quot;:&quot;&quot;},{&quot;family&quot;:&quot;Nowak&quot;,&quot;given&quot;:&quot;S.&quot;,&quot;parse-names&quot;:false,&quot;dropping-particle&quot;:&quot;&quot;,&quot;non-dropping-particle&quot;:&quot;&quot;},{&quot;family&quot;:&quot;Gloriant&quot;,&quot;given&quot;:&quot;T.&quot;,&quot;parse-names&quot;:false,&quot;dropping-particle&quot;:&quot;&quot;,&quot;non-dropping-particle&quot;:&quot;&quot;},{&quot;family&quot;:&quot;Laheurte&quot;,&quot;given&quot;:&quot;P.&quot;,&quot;parse-names&quot;:false,&quot;dropping-particle&quot;:&quot;&quot;,&quot;non-dropping-particle&quot;:&quot;&quot;},{&quot;family&quot;:&quot;Prima&quot;,&quot;given&quot;:&quot;F.&quot;,&quot;parse-names&quot;:false,&quot;dropping-particle&quot;:&quot;&quot;,&quot;non-dropping-particle&quot;:&quot;&quot;}],&quot;container-title&quot;:&quot;Journal of the mechanical behavior of biomedical materials&quot;,&quot;container-title-short&quot;:&quot;J Mech Behav Biomed Mater&quot;,&quot;accessed&quot;:{&quot;date-parts&quot;:[[2022,4,25]]},&quot;DOI&quot;:&quot;10.1016/J.JMBBM.2011.06.003&quot;,&quot;ISSN&quot;:&quot;1878-0180&quot;,&quot;PMID&quot;:&quot;22098885&quot;,&quot;URL&quot;:&quot;https://pubmed.ncbi.nlm.nih.gov/22098885/&quot;,&quot;issued&quot;:{&quot;date-parts&quot;:[[2011,11]]},&quot;page&quot;:&quot;1864-1872&quot;,&quot;abstract&quot;:&quot;A flash-thermal treatment technique has been developed very recently to improve both the critical stress to induce the martensitic transformation (MT) and the recoverable deformation of the metastable β type titanium alloys. In this paper, this strategy is applied to both Ti-26Nb and Ti-20Nb-6Zr (at.%) alloys. Since both alloys have identical martensite start (Ms) temperature, it makes possible to investigate the effect of Zr on mechanical properties after the flash-thermal treatment. It is clearly shown that a flash treatment of 360 s at 873 K on heavily cold-rolled samples results in good balance between the tensile strength, the ductility and the recoverable strains. Such contribution is more significant in the ternary alloy in which balanced properties combining high martensitic critical stress over 400 MPa and the large fully recoverable strains up to 3.0% can be achieved. These improvements are due to the flash treatment effects, resulting in ultra-fine β grains with sizes 1-2 μm with nano-sized α and ω phases precipitation in the β matrix. © 2011 Elsevier Ltd.&quot;,&quot;publisher&quot;:&quot;J Mech Behav Biomed Mater&quot;,&quot;issue&quot;:&quot;8&quot;,&quot;volume&quot;:&quot;4&quot;},&quot;isTemporary&quot;:false},{&quot;id&quot;:&quot;92fd08f2-8fc4-39db-8126-88a484cf6d93&quot;,&quot;itemData&quot;:{&quot;type&quot;:&quot;article-journal&quot;,&quot;id&quot;:&quot;92fd08f2-8fc4-39db-8126-88a484cf6d93&quot;,&quot;title&quot;:&quot;Development and characterization of Ni-free Ti-base shape memory and superelastic alloys&quot;,&quot;author&quot;:[{&quot;family&quot;:&quot;Miyazaki&quot;,&quot;given&quot;:&quot;S&quot;,&quot;parse-names&quot;:false,&quot;dropping-particle&quot;:&quot;&quot;,&quot;non-dropping-particle&quot;:&quot;&quot;},{&quot;family&quot;:&quot;Kim&quot;,&quot;given&quot;:&quot;HY&quot;,&quot;parse-names&quot;:false,&quot;dropping-particle&quot;:&quot;&quot;,&quot;non-dropping-particle&quot;:&quot;&quot;},{&quot;family&quot;:&quot;Hosoda&quot;,&quot;given&quot;:&quot;H&quot;,&quot;parse-names&quot;:false,&quot;dropping-particle&quot;:&quot;&quot;,&quot;non-dropping-particle&quot;:&quot;&quot;}],&quot;container-title&quot;:&quot;Materials Science and Engineering A&quot;,&quot;accessed&quot;:{&quot;date-parts&quot;:[[2022,4,25]]},&quot;DOI&quot;:&quot;10.1016/j.msea.2006.02.054&quot;,&quot;issued&quot;:{&quot;date-parts&quot;:[[2006]]},&quot;page&quot;:&quot;18-24&quot;,&quot;abstract&quot;:&quot;Recently the Ni-hypersensitivity and toxicity of Ni have stimulated the development of Ni-free shape memory alloys. The-Ti alloys are the most attractive candidates for biomedical shape memory alloys. Ti-Nb-X () alloys have been developed and their shape memory effect and superelasticity were investigated systematically by the present authors for about 5 years. Although shape memory effect and superelasticity observed in the Ti-Nb alloys, the low critical stress for slip deformation caused the superelasticity not to reveal a large strain at room temperature. However, low temperature annealing and an aging treatment were effective in improving superelasticity. Additions of alloying elements such as Zr, Ta, Mo, Au, Pt and Al were also effective in stabilizing the superelasticity. In this paper, the basic characteristics of Ti-Nb, Ti-Nb-Zr, Ti-Nb-Ta and Ti-Nb-O are to be briefly reviewed based on the recent works of the present authors.&quot;,&quot;issue&quot;:&quot;440&quot;,&quot;volume&quot;:&quot;438&quot;,&quot;container-title-short&quot;:&quot;&quot;},&quot;isTemporary&quot;:false}]},{&quot;citationID&quot;:&quot;MENDELEY_CITATION_0dff6e92-4d4c-440d-9d5a-bca005e54406&quot;,&quot;properties&quot;:{&quot;noteIndex&quot;:0},&quot;isEdited&quot;:false,&quot;manualOverride&quot;:{&quot;isManuallyOverridden&quot;:false,&quot;citeprocText&quot;:&quot;[4], [7], [8]&quot;,&quot;manualOverrideText&quot;:&quot;&quot;},&quot;citationTag&quot;:&quot;MENDELEY_CITATION_v3_eyJjaXRhdGlvbklEIjoiTUVOREVMRVlfQ0lUQVRJT05fMGRmZjZlOTItNGQ0Yy00NDBkLTlkNWEtYmNhMDA1ZTU0NDA2IiwicHJvcGVydGllcyI6eyJub3RlSW5kZXgiOjB9LCJpc0VkaXRlZCI6ZmFsc2UsIm1hbnVhbE92ZXJyaWRlIjp7ImlzTWFudWFsbHlPdmVycmlkZGVuIjpmYWxzZSwiY2l0ZXByb2NUZXh0IjoiWzRdLCBbN10sIFs4XSIsIm1hbnVhbE92ZXJyaWRlVGV4dCI6IiJ9LCJjaXRhdGlvbkl0ZW1zIjpbeyJpZCI6ImNmZDc5MjZjLTQzNDEtMzk1Yi1iZDY1LTI0MjY2OGJkZjkxNCIsIml0ZW1EYXRhIjp7InR5cGUiOiJhcnRpY2xlLWpvdXJuYWwiLCJpZCI6ImNmZDc5MjZjLTQzNDEtMzk1Yi1iZDY1LTI0MjY2OGJkZjkxNCIsInRpdGxlIjoiQSByZXZpZXcgb24gYWxsb3kgZGVzaWduLCBiaW9sb2dpY2FsIHJlc3BvbnNlLCBhbmQgc3RyZW5ndGhlbmluZyBvZiDOsi10aXRhbml1bSBhbGxveXMgYXMgYmlvbWF0ZXJpYWxzIiwiYXV0aG9yIjpbeyJmYW1pbHkiOiJTaWRodSIsImdpdmVuIjoiU2FyYWJqZWV0IFNpbmdoIiwicGFyc2UtbmFtZXMiOmZhbHNlLCJkcm9wcGluZy1wYXJ0aWNsZSI6IiIsIm5vbi1kcm9wcGluZy1wYXJ0aWNsZSI6IiJ9LHsiZmFtaWx5IjoiU2luZ2giLCJnaXZlbiI6IkhhcnByZWV0IiwicGFyc2UtbmFtZXMiOmZhbHNlLCJkcm9wcGluZy1wYXJ0aWNsZSI6IiIsIm5vbi1kcm9wcGluZy1wYXJ0aWNsZSI6IiJ9LHsiZmFtaWx5IjoiR2VwcmVlbCIsImdpdmVuIjoiTW9oYW1lZCBBYmRlbCBIYWR5IiwicGFyc2UtbmFtZXMiOmZhbHNlLCJkcm9wcGluZy1wYXJ0aWNsZSI6IiIsIm5vbi1kcm9wcGluZy1wYXJ0aWNsZSI6IiJ9XSwiY29udGFpbmVyLXRpdGxlIjoiTWF0ZXJpYWxzIFNjaWVuY2UgYW5kIEVuZ2luZWVyaW5nOiBDIiwiYWNjZXNzZWQiOnsiZGF0ZS1wYXJ0cyI6W1syMDIyLDQsMjJdXX0sIkRPSSI6IjEwLjEwMTYvSi5NU0VDLjIwMjAuMTExNjYxIiwiSVNTTiI6IjA5MjgtNDkzMSIsIlBNSUQiOiIzMzU3OTQzMiIsImlzc3VlZCI6eyJkYXRlLXBhcnRzIjpbWzIwMjEsMiwxXV19LCJwYWdlIjoiMTExNjYxIiwiYWJzdHJhY3QiOiJGcm9tIHRoZSBwYXN0IGZldyB5ZWFycywgZGV2ZWxvcG1lbnRzIG9mIM6yLVRpIGFsbG95cyBoYXZlIGJlZW4gdGhlIHN1YmplY3Qgb2YgYWN0aXZlIHJlc2VhcmNoIGluIHRoZSBtZWRpY2FsIGRvbWFpbi4gVGhlIGN1cnJlbnQgcGFwZXIgaGlnaGxpZ2h0cyBzaWduaWZpY2FudCBmaW5kaW5ncyBpbiB0aGUgYXJlYSBvZiDOsi1UaSBhbGxveSBkZXNpZ24sIGJpb2xvZ2ljYWwgcmVzcG9uc2VzLCBzdHJlbmd0aGVuaW5nIG1lY2hhbmlzbXMsIGFuZCBkZXZlbG9waW5nIGxvdy1jb3N0IGltcGxhbnRzIHdpdGggYSBoaWdoIGRlZ3JlZSBvZiBiaW9jb21wYXRpYmlsaXR5LiBJdCBpcyBldmlkZW50IHRoYXQgYW4gYXN0b25pc2hpbmcgZGVtYW5kIGZvciBkZXZlbG9waW5nIHRoZSBsb3cgbW9kdWx1cy1oaWdoIHN0cmVuZ3RoIGltcGxhbnRzIGNhbiBiZSBmdWxmaWxsZWQgYnkgc3luY2hyb25pemluZyDOsiBzdGFiaWxpemVyIGNvbnRlbnQgYW5kIGluY29ycG9yYXRpbmcgdGFpbG9yZWQgdGhlcm1vLW1lY2hhbmljYWwgdGVjaG5pcXVlcy4gRnVydGhlcm1vcmUsIHRoZSBiaW9sb2dpY2FsIHJlc3BvbnNlIG9mIHRoZSBpbXBsYW50cyBpcyBhcyBpbXBvcnRhbnQgYXMgdGhlIHBoeXNpY2FsIHByb3BlcnRpZXMgdGhhdCByZWd1bGF0ZSBoZWFsaW5nIHJlc3BvbnNlOyBoZW5jZSwgdGhlIG9wdGltdW0gc2VsZWN0aW9uIG9mIGFsbG95aW5nIGVsZW1lbnRzIHBsYXlzIGEgY3VyaWFsIHJvbGUgZm9yIGNsaW5pY2FsIHN1Y2Nlc3MuIFRoZSBwYXBlciBhbHNvIHByZXNlbnRzIHRoZSBldm9sdXRpb24gb2YgcGF0ZW50cyBpbiB0aGlzIGZpZWxkIGZyb20gdGhlIHllYXIgMjAxMCB0byAyMDIwIHNob3dpbmcgdGhlIHJlbGV2YW50IGlubm92YXRpb25zIHRoYXQgbWF5IGJlbmVmaXQgYSB3aWRlIHJhbmdlIG9mIHJlc2VhcmNoZXJzLiIsInB1Ymxpc2hlciI6IkVsc2V2aWVyIiwidm9sdW1lIjoiMTIxIiwiY29udGFpbmVyLXRpdGxlLXNob3J0IjoiIn0sImlzVGVtcG9yYXJ5IjpmYWxzZX0seyJpZCI6IjU4YTExOTViLTM4NWUtMzY2NS05OTVkLTVkZGE4M2I2YWNlOCIsIml0ZW1EYXRhIjp7InR5cGUiOiJhcnRpY2xlLWpvdXJuYWwiLCJpZCI6IjU4YTExOTViLTM4NWUtMzY2NS05OTVkLTVkZGE4M2I2YWNlOCIsInRpdGxlIjoiQ29tcG9zaXRpb24gb3B0aW1pemF0aW9uIG9mIGxvdyBtb2R1bHVzIGFuZCBoaWdoLXN0cmVuZ3RoIFRpTmItYmFzZWQgYWxsb3lzIGZvciBiaW9tZWRpY2FsIGFwcGxpY2F0aW9ucyIsImF1dGhvciI6W3siZmFtaWx5IjoiT2t1bG92IiwiZ2l2ZW4iOiJJLiIsInBhcnNlLW5hbWVzIjpmYWxzZSwiZHJvcHBpbmctcGFydGljbGUiOiJ2LiIsIm5vbi1kcm9wcGluZy1wYXJ0aWNsZSI6IiJ9LHsiZmFtaWx5IjoiVm9sZWdvdiIsImdpdmVuIjoiQS4gUy4iLCJwYXJzZS1uYW1lcyI6ZmFsc2UsImRyb3BwaW5nLXBhcnRpY2xlIjoiIiwibm9uLWRyb3BwaW5nLXBhcnRpY2xlIjoiIn0seyJmYW1pbHkiOiJBdHRhciIsImdpdmVuIjoiSC4iLCJwYXJzZS1uYW1lcyI6ZmFsc2UsImRyb3BwaW5nLXBhcnRpY2xlIjoiIiwibm9uLWRyb3BwaW5nLXBhcnRpY2xlIjoiIn0seyJmYW1pbHkiOiJCw7ZuaXNjaCIsImdpdmVuIjoiTS4iLCJwYXJzZS1uYW1lcyI6ZmFsc2UsImRyb3BwaW5nLXBhcnRpY2xlIjoiIiwibm9uLWRyb3BwaW5nLXBhcnRpY2xlIjoiIn0seyJmYW1pbHkiOiJFaHRlbWFtLUhhZ2hpZ2hpIiwiZ2l2ZW4iOiJTLiIsInBhcnNlLW5hbWVzIjpmYWxzZSwiZHJvcHBpbmctcGFydGljbGUiOiIiLCJub24tZHJvcHBpbmctcGFydGljbGUiOiIifSx7ImZhbWlseSI6IkNhbGluIiwiZ2l2ZW4iOiJNLiIsInBhcnNlLW5hbWVzIjpmYWxzZSwiZHJvcHBpbmctcGFydGljbGUiOiIiLCJub24tZHJvcHBpbmctcGFydGljbGUiOiIifSx7ImZhbWlseSI6IkVja2VydCIsImdpdmVuIjoiSi4iLCJwYXJzZS1uYW1lcyI6ZmFsc2UsImRyb3BwaW5nLXBhcnRpY2xlIjoiIiwibm9uLWRyb3BwaW5nLXBhcnRpY2xlIjoiIn1dLCJjb250YWluZXItdGl0bGUiOiJKb3VybmFsIG9mIHRoZSBNZWNoYW5pY2FsIEJlaGF2aW9yIG9mIEJpb21lZGljYWwgTWF0ZXJpYWxzIiwiY29udGFpbmVyLXRpdGxlLXNob3J0IjoiSiBNZWNoIEJlaGF2IEJpb21lZCBNYXRlciIsImFjY2Vzc2VkIjp7ImRhdGUtcGFydHMiOltbMjAyMiw0LDI1XV19LCJET0kiOiIxMC4xMDE2L0ouSk1CQk0uMjAxNi4xMC4wMTMiLCJJU1NOIjoiMTc1MS02MTYxIiwiUE1JRCI6IjI3ODEwNzMzIiwiaXNzdWVkIjp7ImRhdGUtcGFydHMiOltbMjAxNywxLDFdXX0sInBhZ2UiOiI4NjYtODcxIiwiYWJzdHJhY3QiOiJUaGUgZWZmZWN0IG9mIGNoZW1pY2FsIGNvbXBvc2l0aW9uIG9uIG1pY3Jvc3RydWN0dXJlIGFuZCB0ZW5zaWxlIHByb3BlcnRpZXMgb2YgYSBzZXJpZXMgb2YgbG93IG1vZHVsdXMgVGktTmItQ3UtTmktQWwgYWxsb3lzIHdhcyBzdHVkaWVkLiBUaGVzZSBhbGxveXMgY29uc2lzdCBvZiBwcmltYXJ5IG1pY3JvbWV0ZXItc2l6ZWQgzrItVGkgZGVuZHJpdGVzIHN1cnJvdW5kZWQgYnkgaW50ZXJtZXRhbGxpYyBwaGFzZXMuIFRoZSBtb3JwaG9sb2d5IG9mIHRoZSBpbnRlcm1ldGFsbGljIHBoYXNlcyBpcyBzdHJvbmdseSBhZmZlY3RlZCBieSBjb21wb3NpdGlvbi4gRHVlIHRvIHRoZSBjb21wb3NpdGUgbWljcm9zdHJ1Y3R1cmUsIHRoZSBhbGxveXMgZXhoaWJpdCBhIGxvdyBZb3VuZydzIG1vZHVsdXMgKDc34oCTODQgR1BhKSB0b2dldGhlciB3aXRoIGEgaGlnaCB5aWVsZCBzdHJlbmd0aCBvZiBhYm91dCAxMDAwIE1QYSBhcyB3ZWxsIGFzIG1vZGVyYXRlIHRlbnNpbGUgZHVjdGlsaXR5LiBUaGUgcmVzdWx0cyBkZW1vbnN0cmF0ZSB0aGF0IGNvbXBsZXRlIHN1YnN0aXR1dGlvbiBvZiBBbCBieSBUaSByZWR1Y2VzIHRoZSBZb3VuZydzIG1vZHVsdXMgYnkgNSUuIEluY3JlYXNpbmcgTmIgY29udGVudCBhdCB0aGUgZXhwZW5zZSBvZiBUaSBjYXVzZXMgYSBzaWduaWZpY2FudCBpbXByb3ZlbWVudCBvZiB0ZW5zaWxlIGR1Y3RpbGl0eS4iLCJwdWJsaXNoZXIiOiJFbHNldmllciIsInZvbHVtZSI6IjY1In0sImlzVGVtcG9yYXJ5IjpmYWxzZX0seyJpZCI6IjJkYzI2OWY0LTQwNjYtMzk5OC1hNTcxLTEzY2VjODZlMDAyYSIsIml0ZW1EYXRhIjp7InR5cGUiOiJhcnRpY2xlLWpvdXJuYWwiLCJpZCI6IjJkYzI2OWY0LTQwNjYtMzk5OC1hNTcxLTEzY2VjODZlMDAyYSIsInRpdGxlIjoiRmF0aWd1ZSBwcm9wZXJ0aWVzIG9mIGEgbWV0YXN0YWJsZSDOsi10eXBlIHRpdGFuaXVtIGFsbG95IHdpdGggcmV2ZXJzaWJsZSBwaGFzZSB0cmFuc2Zvcm1hdGlvbiIsImF1dGhvciI6W3siZmFtaWx5IjoiTGkiLCJnaXZlbiI6IlMuIEouIiwicGFyc2UtbmFtZXMiOmZhbHNlLCJkcm9wcGluZy1wYXJ0aWNsZSI6IiIsIm5vbi1kcm9wcGluZy1wYXJ0aWNsZSI6IiJ9LHsiZmFtaWx5IjoiQ3VpIiwiZ2l2ZW4iOiJULiBDLiIsInBhcnNlLW5hbWVzIjpmYWxzZSwiZHJvcHBpbmctcGFydGljbGUiOiIiLCJub24tZHJvcHBpbmctcGFydGljbGUiOiIifSx7ImZhbWlseSI6IkhhbyIsImdpdmVuIjoiWS4gTC4iLCJwYXJzZS1uYW1lcyI6ZmFsc2UsImRyb3BwaW5nLXBhcnRpY2xlIjoiIiwibm9uLWRyb3BwaW5nLXBhcnRpY2xlIjoiIn0seyJmYW1pbHkiOiJZYW5nIiwiZ2l2ZW4iOiJSLiIsInBhcnNlLW5hbWVzIjpmYWxzZSwiZHJvcHBpbmctcGFydGljbGUiOiIiLCJub24tZHJvcHBpbmctcGFydGljbGUiOiIifV0sImNvbnRhaW5lci10aXRsZSI6IkFjdGEgQmlvbWF0ZXJpYWxpYSIsImNvbnRhaW5lci10aXRsZS1zaG9ydCI6IkFjdGEgQmlvbWF0ZXIiLCJhY2Nlc3NlZCI6eyJkYXRlLXBhcnRzIjpbWzIwMjIsNCwyNV1dfSwiRE9JIjoiMTAuMTAxNi9KLkFDVEJJTy4yMDA3LjA5LjAwOSIsIklTU04iOiIxNzQyLTcwNjEiLCJQTUlEIjoiMTgwMDYzOTciLCJpc3N1ZWQiOnsiZGF0ZS1wYXJ0cyI6W1syMDA4LDMsMV1dfSwicGFnZSI6IjMwNS0zMTciLCJhYnN0cmFjdCI6IkR1ZSB0byByZWNlbnQgY29uY2VybiBhYm91dCBhbGxlcmdpYyBhbmQgdG94aWMgZWZmZWN0cyBvZiBOaSBpb25zIHJlbGVhc2VkIGZyb20gVGlOaSBhbGxveSBpbnRvIGh1bWFuIGJvZHksIG11Y2ggYXR0ZW50aW9uIGhhcyBiZWVuIGZvY3VzZWQgb24gdGhlIGRldmVsb3BtZW50IG9mIG5ldyBOaS1mcmVlLCBtZXRhc3RhYmxlIM6yLXR5cGUgYmlvbWVkaWNhbCB0aXRhbml1bSBhbGxveXMgd2l0aCBhIHJldmVyc2libGUgcGhhc2UgdHJhbnNmb3JtYXRpb24gYmV0d2VlbiB0aGUgzrIgcGhhc2UgYW5kIHRoZSDOseKAsyBtYXJ0ZW5zaXRlLiBUaGlzIHN0dWR5IGludmVzdGlnYXRlcyB0aGUgZWZmZWN0IG9mIHRoZSBzdHJlc3MtaW5kdWNlZCDOseKAsyBtYXJ0ZW5zaXRlIG9uIHRoZSBtZWNoYW5pY2FsIGFuZCBmYXRpZ3VlIHByb3BlcnRpZXMgb2YgVGktMjROYi00WnItNy42U24gKHd0LiUpIGFsbG95LiBUaGUgcmVzdWx0cyBzaG93IHRoYXQgdGhlIGFzLWZvcmdlZCBhbGxveSBoYXMgYSBsb3cgZHluYW1pYyBZb3VuZydzIG1vZHVsdXMgb2YgNTUgR1BhIGFuZCBhIHJlY292ZXJhYmxlIHRlbnNpbGUgc3RyYWluIG9mIOKIvDMlLiBDb21wYXJlZCB3aXRoIFRpLTZBbC00ViBFTEksIHRoZSBzdHVkaWVkIGFsbG95IGhhcyBxdWl0ZSBhIGhpZ2ggbG93LWN5Y2xlIGZhdGlndWUgc3RyZW5ndGggYmVjYXVzZSBvZiB0aGUgZWZmZWN0aXZlIHN1cHByZXNzaW9uIG9mIG1pY3JvcGxhc3RpYyBkZWZvcm1hdGlvbiBieSB0aGUgcmV2ZXJzaWJsZSBtYXJ0ZW5zaXRpYyB0cmFuc2Zvcm1hdGlvbi4gRHVlIHRvIHRoZSBsb3cgY3JpdGljYWwgc3RyZXNzIHJlcXVpcmVkIHRvIGluZHVjZSB0aGUgbWFydGVuc2l0aWMgdHJhbnNmb3JtYXRpb24sIGl0IGhhcyBsb3cgZmF0aWd1ZSBlbmR1cmFuY2UgY29tcGFyYWJsZSB0byB0aGF0IG9mIFRpLTZBbC00ViBFTEkuIENvbGQgcm9sbGluZyBwcm9kdWNlcyBhIM6yICsgzrHigLMgdHdvLXBoYXNlIG1pY3Jvc3RydWN0dXJlIHRoYXQgaXMgY2hhcmFjdGVyaXplZCBieSByZWdpb25zIG9mIG5hbm8tc2l6ZSDOsiBncmFpbnMgaW50ZXJzcGVyc2VkIHdpdGggY29hcnNlIGdyYWlucyBjb250YWluaW5nIM6x4oCzIG1hcnRlbnNpdGUgcGxhdGVzLiBDb2xkIHJvbGxpbmcgaW5jcmVhc2VzIGZhdGlndWUgZW5kdXJhbmNlIGJ5IOKIvDUwJSB3aGlsZSBkZWNyZWFzaW5nIHRoZSBZb3VuZydzIG1vZHVsdXMgdG8gNDkgR1BhIGFsb25nIHRoZSByb2xsaW5nIGRpcmVjdGlvbiBidXQgaW5jcmVhc2luZyBpdCB0byA2OCBHUGEgYWxvbmcgdGhlIHRyYW5zdmVyc2UgZGlyZWN0aW9uLiBEdWUgdG8gdGhlIGVmZmVjdGl2ZSBzdXBwcmVzc2lvbiBvZiB0aGUgYnJpdHRsZSBpc290aGVybWFsIM+JIHBoYXNlLCBiYWxhbmNlZCBwcm9wZXJ0aWVzIG9mIGhpZ2ggc3RyZW5ndGgsIGxvdyBZb3VuZydzIG1vZHVsdXMgYW5kIGdvb2QgZHVjdGlsaXR5IGNhbiBiZSBhY2hpZXZlZCB0aHJvdWdoIGFnZWluZyB0cmVhdG1lbnQgYXQgaW50ZXJtZWRpYXRlIHRlbXBlcmF0dXJlLiDCqSAyMDA3IEFjdGEgTWF0ZXJpYWxpYSBJbmMuIiwicHVibGlzaGVyIjoiRWxzZXZpZXIiLCJpc3N1ZSI6IjIiLCJ2b2x1bWUiOiI0In0sImlzVGVtcG9yYXJ5IjpmYWxzZX1dfQ==&quot;,&quot;citationItems&quot;:[{&quot;id&quot;:&quot;cfd7926c-4341-395b-bd65-242668bdf914&quot;,&quot;itemData&quot;:{&quot;type&quot;:&quot;article-journal&quot;,&quot;id&quot;:&quot;cfd7926c-4341-395b-bd65-242668bdf914&quot;,&quot;title&quot;:&quot;A review on alloy design, biological response, and strengthening of β-titanium alloys as biomaterials&quot;,&quot;author&quot;:[{&quot;family&quot;:&quot;Sidhu&quot;,&quot;given&quot;:&quot;Sarabjeet Singh&quot;,&quot;parse-names&quot;:false,&quot;dropping-particle&quot;:&quot;&quot;,&quot;non-dropping-particle&quot;:&quot;&quot;},{&quot;family&quot;:&quot;Singh&quot;,&quot;given&quot;:&quot;Harpreet&quot;,&quot;parse-names&quot;:false,&quot;dropping-particle&quot;:&quot;&quot;,&quot;non-dropping-particle&quot;:&quot;&quot;},{&quot;family&quot;:&quot;Gepreel&quot;,&quot;given&quot;:&quot;Mohamed Abdel Hady&quot;,&quot;parse-names&quot;:false,&quot;dropping-particle&quot;:&quot;&quot;,&quot;non-dropping-particle&quot;:&quot;&quot;}],&quot;container-title&quot;:&quot;Materials Science and Engineering: C&quot;,&quot;accessed&quot;:{&quot;date-parts&quot;:[[2022,4,22]]},&quot;DOI&quot;:&quot;10.1016/J.MSEC.2020.111661&quot;,&quot;ISSN&quot;:&quot;0928-4931&quot;,&quot;PMID&quot;:&quot;33579432&quot;,&quot;issued&quot;:{&quot;date-parts&quot;:[[2021,2,1]]},&quot;page&quot;:&quot;111661&quot;,&quot;abstract&quot;:&quot;From the past few years, developments of β-Ti alloys have been the subject of active research in the medical domain. The current paper highlights significant findings in the area of β-Ti alloy design, biological responses, strengthening mechanisms, and developing low-cost implants with a high degree of biocompatibility. It is evident that an astonishing demand for developing the low modulus-high strength implants can be fulfilled by synchronizing β stabilizer content and incorporating tailored thermo-mechanical techniques. Furthermore, the biological response of the implants is as important as the physical properties that regulate healing response; hence, the optimum selection of alloying elements plays a curial role for clinical success. The paper also presents the evolution of patents in this field from the year 2010 to 2020 showing the relevant innovations that may benefit a wide range of researchers.&quot;,&quot;publisher&quot;:&quot;Elsevier&quot;,&quot;volume&quot;:&quot;121&quot;,&quot;container-title-short&quot;:&quot;&quot;},&quot;isTemporary&quot;:false},{&quot;id&quot;:&quot;58a1195b-385e-3665-995d-5dda83b6ace8&quot;,&quot;itemData&quot;:{&quot;type&quot;:&quot;article-journal&quot;,&quot;id&quot;:&quot;58a1195b-385e-3665-995d-5dda83b6ace8&quot;,&quot;title&quot;:&quot;Composition optimization of low modulus and high-strength TiNb-based alloys for biomedical applications&quot;,&quot;author&quot;:[{&quot;family&quot;:&quot;Okulov&quot;,&quot;given&quot;:&quot;I.&quot;,&quot;parse-names&quot;:false,&quot;dropping-particle&quot;:&quot;v.&quot;,&quot;non-dropping-particle&quot;:&quot;&quot;},{&quot;family&quot;:&quot;Volegov&quot;,&quot;given&quot;:&quot;A. S.&quot;,&quot;parse-names&quot;:false,&quot;dropping-particle&quot;:&quot;&quot;,&quot;non-dropping-particle&quot;:&quot;&quot;},{&quot;family&quot;:&quot;Attar&quot;,&quot;given&quot;:&quot;H.&quot;,&quot;parse-names&quot;:false,&quot;dropping-particle&quot;:&quot;&quot;,&quot;non-dropping-particle&quot;:&quot;&quot;},{&quot;family&quot;:&quot;Bönisch&quot;,&quot;given&quot;:&quot;M.&quot;,&quot;parse-names&quot;:false,&quot;dropping-particle&quot;:&quot;&quot;,&quot;non-dropping-particle&quot;:&quot;&quot;},{&quot;family&quot;:&quot;Ehtemam-Haghighi&quot;,&quot;given&quot;:&quot;S.&quot;,&quot;parse-names&quot;:false,&quot;dropping-particle&quot;:&quot;&quot;,&quot;non-dropping-particle&quot;:&quot;&quot;},{&quot;family&quot;:&quot;Calin&quot;,&quot;given&quot;:&quot;M.&quot;,&quot;parse-names&quot;:false,&quot;dropping-particle&quot;:&quot;&quot;,&quot;non-dropping-particle&quot;:&quot;&quot;},{&quot;family&quot;:&quot;Eckert&quot;,&quot;given&quot;:&quot;J.&quot;,&quot;parse-names&quot;:false,&quot;dropping-particle&quot;:&quot;&quot;,&quot;non-dropping-particle&quot;:&quot;&quot;}],&quot;container-title&quot;:&quot;Journal of the Mechanical Behavior of Biomedical Materials&quot;,&quot;container-title-short&quot;:&quot;J Mech Behav Biomed Mater&quot;,&quot;accessed&quot;:{&quot;date-parts&quot;:[[2022,4,25]]},&quot;DOI&quot;:&quot;10.1016/J.JMBBM.2016.10.013&quot;,&quot;ISSN&quot;:&quot;1751-6161&quot;,&quot;PMID&quot;:&quot;27810733&quot;,&quot;issued&quot;:{&quot;date-parts&quot;:[[2017,1,1]]},&quot;page&quot;:&quot;866-871&quot;,&quot;abstract&quot;:&quot;The effect of chemical composition on microstructure and tensile properties of a series of low modulus Ti-Nb-Cu-Ni-Al alloys was studied. These alloys consist of primary micrometer-sized β-Ti dendrites surrounded by intermetallic phases. The morphology of the intermetallic phases is strongly affected by composition. Due to the composite microstructure, the alloys exhibit a low Young's modulus (77–84 GPa) together with a high yield strength of about 1000 MPa as well as moderate tensile ductility. The results demonstrate that complete substitution of Al by Ti reduces the Young's modulus by 5%. Increasing Nb content at the expense of Ti causes a significant improvement of tensile ductility.&quot;,&quot;publisher&quot;:&quot;Elsevier&quot;,&quot;volume&quot;:&quot;65&quot;},&quot;isTemporary&quot;:false},{&quot;id&quot;:&quot;2dc269f4-4066-3998-a571-13cec86e002a&quot;,&quot;itemData&quot;:{&quot;type&quot;:&quot;article-journal&quot;,&quot;id&quot;:&quot;2dc269f4-4066-3998-a571-13cec86e002a&quot;,&quot;title&quot;:&quot;Fatigue properties of a metastable β-type titanium alloy with reversible phase transformation&quot;,&quot;author&quot;:[{&quot;family&quot;:&quot;Li&quot;,&quot;given&quot;:&quot;S. J.&quot;,&quot;parse-names&quot;:false,&quot;dropping-particle&quot;:&quot;&quot;,&quot;non-dropping-particle&quot;:&quot;&quot;},{&quot;family&quot;:&quot;Cui&quot;,&quot;given&quot;:&quot;T. C.&quot;,&quot;parse-names&quot;:false,&quot;dropping-particle&quot;:&quot;&quot;,&quot;non-dropping-particle&quot;:&quot;&quot;},{&quot;family&quot;:&quot;Hao&quot;,&quot;given&quot;:&quot;Y. L.&quot;,&quot;parse-names&quot;:false,&quot;dropping-particle&quot;:&quot;&quot;,&quot;non-dropping-particle&quot;:&quot;&quot;},{&quot;family&quot;:&quot;Yang&quot;,&quot;given&quot;:&quot;R.&quot;,&quot;parse-names&quot;:false,&quot;dropping-particle&quot;:&quot;&quot;,&quot;non-dropping-particle&quot;:&quot;&quot;}],&quot;container-title&quot;:&quot;Acta Biomaterialia&quot;,&quot;container-title-short&quot;:&quot;Acta Biomater&quot;,&quot;accessed&quot;:{&quot;date-parts&quot;:[[2022,4,25]]},&quot;DOI&quot;:&quot;10.1016/J.ACTBIO.2007.09.009&quot;,&quot;ISSN&quot;:&quot;1742-7061&quot;,&quot;PMID&quot;:&quot;18006397&quot;,&quot;issued&quot;:{&quot;date-parts&quot;:[[2008,3,1]]},&quot;page&quot;:&quot;305-317&quot;,&quot;abstract&quot;:&quot;Due to recent concern about allergic and toxic effects of Ni ions released from TiNi alloy into human body, much attention has been focused on the development of new Ni-free, metastable β-type biomedical titanium alloys with a reversible phase transformation between the β phase and the α″ martensite. This study investigates the effect of the stress-induced α″ martensite on the mechanical and fatigue properties of Ti-24Nb-4Zr-7.6Sn (wt.%) alloy. The results show that the as-forged alloy has a low dynamic Young's modulus of 55 GPa and a recoverable tensile strain of ∼3%. Compared with Ti-6Al-4V ELI, the studied alloy has quite a high low-cycle fatigue strength because of the effective suppression of microplastic deformation by the reversible martensitic transformation. Due to the low critical stress required to induce the martensitic transformation, it has low fatigue endurance comparable to that of Ti-6Al-4V ELI. Cold rolling produces a β + α″ two-phase microstructure that is characterized by regions of nano-size β grains interspersed with coarse grains containing α″ martensite plates. Cold rolling increases fatigue endurance by ∼50% while decreasing the Young's modulus to 49 GPa along the rolling direction but increasing it to 68 GPa along the transverse direction. Due to the effective suppression of the brittle isothermal ω phase, balanced properties of high strength, low Young's modulus and good ductility can be achieved through ageing treatment at intermediate temperature. © 2007 Acta Materialia Inc.&quot;,&quot;publisher&quot;:&quot;Elsevier&quot;,&quot;issue&quot;:&quot;2&quot;,&quot;volume&quot;:&quot;4&quot;},&quot;isTemporary&quot;:false}]},{&quot;citationID&quot;:&quot;MENDELEY_CITATION_57596517-2347-48ba-bd32-a6fb0ba79660&quot;,&quot;properties&quot;:{&quot;noteIndex&quot;:0},&quot;isEdited&quot;:false,&quot;manualOverride&quot;:{&quot;isManuallyOverridden&quot;:false,&quot;citeprocText&quot;:&quot;[9], [10]&quot;,&quot;manualOverrideText&quot;:&quot;&quot;},&quot;citationTag&quot;:&quot;MENDELEY_CITATION_v3_eyJjaXRhdGlvbklEIjoiTUVOREVMRVlfQ0lUQVRJT05fNTc1OTY1MTctMjM0Ny00OGJhLWJkMzItYTZmYjBiYTc5NjYwIiwicHJvcGVydGllcyI6eyJub3RlSW5kZXgiOjB9LCJpc0VkaXRlZCI6ZmFsc2UsIm1hbnVhbE92ZXJyaWRlIjp7ImlzTWFudWFsbHlPdmVycmlkZGVuIjpmYWxzZSwiY2l0ZXByb2NUZXh0IjoiWzldLCBbMTBdIiwibWFudWFsT3ZlcnJpZGVUZXh0IjoiIn0sImNpdGF0aW9uSXRlbXMiOlt7ImlkIjoiOWIwOGQzYTItMTZkYi0zMTA2LTg2MTctNzJhZjM5Yzc5OTUzIiwiaXRlbURhdGEiOnsidHlwZSI6ImFydGljbGUtam91cm5hbCIsImlkIjoiOWIwOGQzYTItMTZkYi0zMTA2LTg2MTctNzJhZjM5Yzc5OTUzIiwidGl0bGUiOiJBIHJldmlldyBvZiBtZXRhc3RhYmxlIGJldGEgdGl0YW5pdW0gYWxsb3lzIiwiYXV0aG9yIjpbeyJmYW1pbHkiOiJLb2xsaSIsImdpdmVuIjoiUlAiLCJwYXJzZS1uYW1lcyI6ZmFsc2UsImRyb3BwaW5nLXBhcnRpY2xlIjoiIiwibm9uLWRyb3BwaW5nLXBhcnRpY2xlIjoiIn0seyJmYW1pbHkiOiJNZXRhbHMiLCJnaXZlbiI6IkEgRGV2YXJhaiAtIiwicGFyc2UtbmFtZXMiOmZhbHNlLCJkcm9wcGluZy1wYXJ0aWNsZSI6IiIsIm5vbi1kcm9wcGluZy1wYXJ0aWNsZSI6IiJ9LHsiZmFtaWx5IjoiMjAxOCIsImdpdmVuIjoidW5kZWZpbmVkIiwicGFyc2UtbmFtZXMiOmZhbHNlLCJkcm9wcGluZy1wYXJ0aWNsZSI6IiIsIm5vbi1kcm9wcGluZy1wYXJ0aWNsZSI6IiJ9XSwiY29udGFpbmVyLXRpdGxlIjoibWRwaS5jb20iLCJhY2Nlc3NlZCI6eyJkYXRlLXBhcnRzIjpbWzIwMjIsNCwyN11dfSwiRE9JIjoiMTAuMzM5MC9tZXQ4MDcwNTA2IiwiVVJMIjoiaHR0cHM6Ly9zY2ktaHViLnJlbi9odHRwczovL3d3dy5tZHBpLmNvbS8zMTA4OTAiLCJpc3N1ZWQiOnsiZGF0ZS1wYXJ0cyI6W1syMDE4XV19LCJhYnN0cmFjdCI6IkluIHRoaXMgYXJ0aWNsZSwgd2UgcHJvdmlkZSBhIGJyb2FkIGFuZCBleHRlbnNpdmUgcmV2aWV3IG9mIGJldGEgdGl0YW5pdW0gYWxsb3lzLiBCZXRhIHRpdGFuaXVtIGFsbG95cyBhcmUgYW4gaW1wb3J0YW50IGNsYXNzIG9mIGFsbG95cyB0aGF0IGhhdmUgZm91bmQgdXNlIGluIGRlbWFuZGluZyBhcHBsaWNhdGlvbnMgc3VjaCBhcyBhaXJjcmFmdCBzdHJ1Y3R1cmVzIGFuZCBlbmdpbmVzLCBhbmQgb3J0aG9wZWRpYyBhbmQgb3J0aG9kb250aWMgaW1wbGFudHMuIFRoZWlyIGhpZ2ggc3RyZW5ndGgsIGdvb2QgY29ycm9zaW9uIHJlc2lzdGFuY2UsIGV4Y2VsbGVudCBiaW9jb21wYXRpYmlsaXR5LCBhbmQgZWFzZSBvZiBmYWJyaWNhdGlvbiBwcm92aWRlIHNpZ25pZmljYW50IGFkdmFudGFnZXMgY29tcGFyZWQgdG8gb3RoZXIgaGlnaCBwZXJmb3JtYW5jZSBhbGxveXMuIFRoZSBib2R5LWNlbnRlcmVkIGN1YmljIChiY2MpIM6yLXBoYXNlIGlzIG1ldGFzdGFibGUgYXQgdGVtcGVyYXR1cmVzIGJlbG93IHRoZSBiZXRhIHRyYW5zdXMgdGVtcGVyYXR1cmUsIHByb3ZpZGluZyB0aGVzZSBhbGxveXMgd2l0aCBhIHdpZGUgcmFuZ2Ugb2YgbWljcm9zdHJ1Y3R1cmVzIGFuZCBtZWNoYW5pY2FsIHByb3BlcnRpZXMgdGhyb3VnaCBwcm9jZXNzaW5nIGFuZCBoZWF0IHRyZWF0bWVudC4gT25lIGF0dHJpYnV0ZSBpbXBvcnRhbnQgZm9yIGJpb21lZGljYWwgYXBwbGljYXRpb25zIGlzIHRoZSBhYmlsaXR5IHRvIGFkanVzdCB0aGUgbW9kdWx1cyBvZiBlbGFzdGljaXR5IHRocm91Z2ggYWxsb3lpbmcgYW5kIGFsdGVyaW5nIHBoYXNlIHZvbHVtZSBmcmFjdGlvbnMuIEZ1cnRoZXJtb3JlLCBzaW5jZSB0aGVzZSBhbGxveXMgYXJlIG1ldGFzdGFibGUsIHRoZXkgZXhwZXJpZW5jZSBzdHJlc3MtaW5kdWNlZCB0cmFuc2Zvcm1hdGlvbnMgaW4gcmVzcG9uc2UgdG8gZGVmb3JtYXRpb24uIFRoZSBhdHRyaWJ1dGVzIG9mIHRoZXNlIGFsbG95cyBtYWtlIHRoZW0gdGhlIHN1YmplY3Qgb2YgbWFueSByZWNlbnQgc3R1ZGllcy4gSW4gYWRkaXRpb24sIHJlc2VhcmNoZXJzIGFyZSBwdXJzdWluZyBkZXZlbG9wbWVudCBvZiBuZXcgbWV0YXN0YWJsZSBhbmQgbmVhci1iZXRhIFRpIGFsbG95cyBmb3IgYWR2YW5jZWQgYXBwbGljYXRpb25zLiBJbiB0aGlzIGFydGljbGUsIHdlIHJldmlldyBzZXZlcmFsIGltcG9ydGFudCB0b3BpY3Mgb2YgdGhlc2UgYWxsb3lzIGluY2x1ZGluZyBwaGFzZSBzdGFiaWxpdHksIGRldmVsb3BtZW50IGhpc3RvcnksIHRoZXJtby1tZWNoYW5pY2FsIHByb2Nlc3NpbmcgYW5kIGhlYXQgdHJlYXRtZW50LCBhbmQgc3RyZXNzLWluZHVjZWQgdHJhbnNmb3JtYXRpb25zLiBJbiBhZGRpdGlvbiwgd2UgYWRkcmVzcyByZWNlbnQgZGV2ZWxvcG1lbnRzIGluIG5ldyBhbGxveXMsIHBoYXNlIHN0YWJpbGl0eSwgc3VwZXJlbGFzdGljaXR5LCBhbmQgYWRkaXRpdmUgbWFudWZhY3R1cmluZy4iLCJjb250YWluZXItdGl0bGUtc2hvcnQiOiIifSwiaXNUZW1wb3JhcnkiOmZhbHNlfSx7ImlkIjoiZDE2MWY1MmYtZGEzMS0zMzA2LThmMjYtY2Q5YjA2Y2Q2MmMyIiwiaXRlbURhdGEiOnsidHlwZSI6ImFydGljbGUtam91cm5hbCIsImlkIjoiZDE2MWY1MmYtZGEzMS0zMzA2LThmMjYtY2Q5YjA2Y2Q2MmMyIiwidGl0bGUiOiJBIHJldmlldyBvZiB0aGUgbWV0YXN0YWJsZSBvbWVnYSBwaGFzZSBpbiBiZXRhIHRpdGFuaXVtIGFsbG95czogdGhlIHBoYXNlIHRyYW5zZm9ybWF0aW9uIG1lY2hhbmlzbXMgYW5kIGl0cyBlZmZlY3Qgb24gbWVjaGFuaWNhbCBwcm9wZXJ0aWVzIiwiYXV0aG9yIjpbeyJmYW1pbHkiOiJCYWxsb3IiLCJnaXZlbiI6IkpvIEFubiIsInBhcnNlLW5hbWVzIjpmYWxzZSwiZHJvcHBpbmctcGFydGljbGUiOiIiLCJub24tZHJvcHBpbmctcGFydGljbGUiOiIifSx7ImZhbWlseSI6IkxpIiwiZ2l2ZW4iOiJUb25nIiwicGFyc2UtbmFtZXMiOmZhbHNlLCJkcm9wcGluZy1wYXJ0aWNsZSI6IiIsIm5vbi1kcm9wcGluZy1wYXJ0aWNsZSI6IiJ9LHsiZmFtaWx5IjoiUHJpbWEiLCJnaXZlbiI6IkZyw6lkw6lyaWMiLCJwYXJzZS1uYW1lcyI6ZmFsc2UsImRyb3BwaW5nLXBhcnRpY2xlIjoiIiwibm9uLWRyb3BwaW5nLXBhcnRpY2xlIjoiIn0seyJmYW1pbHkiOiJCb2VobGVydCIsImdpdmVuIjoiQ2FybCBKLiIsInBhcnNlLW5hbWVzIjpmYWxzZSwiZHJvcHBpbmctcGFydGljbGUiOiIiLCJub24tZHJvcHBpbmctcGFydGljbGUiOiIifSx7ImZhbWlseSI6IkRldmFyYWoiLCJnaXZlbiI6IkFydW4iLCJwYXJzZS1uYW1lcyI6ZmFsc2UsImRyb3BwaW5nLXBhcnRpY2xlIjoiIiwibm9uLWRyb3BwaW5nLXBhcnRpY2xlIjoiIn1dLCJjb250YWluZXItdGl0bGUiOiJodHRwczovL2RvaS5vcmcvMTAuMTA4MC8wOTUwNjYwOC4yMDIyLjIwMzY0MDEiLCJhY2Nlc3NlZCI6eyJkYXRlLXBhcnRzIjpbWzIwMjIsNCwyMV1dfSwiRE9JIjoiMTAuMTA4MC8wOTUwNjYwOC4yMDIyLjIwMzY0MDEiLCJJU1NOIjoiMTc0MzI4MDQiLCJVUkwiOiJodHRwczovL3d3dy50YW5kZm9ubGluZS5jb20vZG9pL2Ficy8xMC4xMDgwLzA5NTA2NjA4LjIwMjIuMjAzNjQwMSIsImlzc3VlZCI6eyJkYXRlLXBhcnRzIjpbWzIwMjJdXX0sImFic3RyYWN0IjoiU2luY2UgaXRzIGRpc2NvdmVyeSBpbiAxOTU0LCB0aGUgb21lZ2EgKM+JKSBwaGFzZSBpbiB0aXRhbml1bSBhbmQgaXRzIGFsbG95cyBoYXMgYXR0cmFjdGVkIHN1YnN0YW50aWFsIGF0dGVudGlvbiBmcm9tIHJlc2VhcmNoZXJzLiBUaGUgzrItdG8tz4kgYW5kIM+JLXRvLc6xIHBoYXNlIHRyYW5zZm9ybWF0aW9ucyBhcmUgY2VudHJhbCB0byDOsi10aXRhbmkuLi4iLCJwdWJsaXNoZXIiOiJUYXlsb3IgJiBGcmFuY2lzIiwiY29udGFpbmVyLXRpdGxlLXNob3J0IjoiIn0sImlzVGVtcG9yYXJ5IjpmYWxzZX1dfQ==&quot;,&quot;citationItems&quot;:[{&quot;id&quot;:&quot;9b08d3a2-16db-3106-8617-72af39c79953&quot;,&quot;itemData&quot;:{&quot;type&quot;:&quot;article-journal&quot;,&quot;id&quot;:&quot;9b08d3a2-16db-3106-8617-72af39c79953&quot;,&quot;title&quot;:&quot;A review of metastable beta titanium alloys&quot;,&quot;author&quot;:[{&quot;family&quot;:&quot;Kolli&quot;,&quot;given&quot;:&quot;RP&quot;,&quot;parse-names&quot;:false,&quot;dropping-particle&quot;:&quot;&quot;,&quot;non-dropping-particle&quot;:&quot;&quot;},{&quot;family&quot;:&quot;Metals&quot;,&quot;given&quot;:&quot;A Devaraj -&quot;,&quot;parse-names&quot;:false,&quot;dropping-particle&quot;:&quot;&quot;,&quot;non-dropping-particle&quot;:&quot;&quot;},{&quot;family&quot;:&quot;2018&quot;,&quot;given&quot;:&quot;undefined&quot;,&quot;parse-names&quot;:false,&quot;dropping-particle&quot;:&quot;&quot;,&quot;non-dropping-particle&quot;:&quot;&quot;}],&quot;container-title&quot;:&quot;mdpi.com&quot;,&quot;accessed&quot;:{&quot;date-parts&quot;:[[2022,4,27]]},&quot;DOI&quot;:&quot;10.3390/met8070506&quot;,&quot;URL&quot;:&quot;https://sci-hub.ren/https://www.mdpi.com/310890&quot;,&quot;issued&quot;:{&quot;date-parts&quot;:[[2018]]},&quot;abstract&quot;:&quot;In this article, we provide a broad and extensive review of beta titanium alloys. Beta titanium alloys are an important class of alloys that have found use in demanding applications such as aircraft structures and engines, and orthopedic and orthodontic implants. Their high strength, good corrosion resistance, excellent biocompatibility, and ease of fabrication provide significant advantages compared to other high performance alloys. The body-centered cubic (bcc) β-phase is metastable at temperatures below the beta transus temperature, providing these alloys with a wide range of microstructures and mechanical properties through processing and heat treatment. One attribute important for biomedical applications is the ability to adjust the modulus of elasticity through alloying and altering phase volume fractions. Furthermore, since these alloys are metastable, they experience stress-induced transformations in response to deformation. The attributes of these alloys make them the subject of many recent studies. In addition, researchers are pursuing development of new metastable and near-beta Ti alloys for advanced applications. In this article, we review several important topics of these alloys including phase stability, development history, thermo-mechanical processing and heat treatment, and stress-induced transformations. In addition, we address recent developments in new alloys, phase stability, superelasticity, and additive manufacturing.&quot;,&quot;container-title-short&quot;:&quot;&quot;},&quot;isTemporary&quot;:false},{&quot;id&quot;:&quot;d161f52f-da31-3306-8f26-cd9b06cd62c2&quot;,&quot;itemData&quot;:{&quot;type&quot;:&quot;article-journal&quot;,&quot;id&quot;:&quot;d161f52f-da31-3306-8f26-cd9b06cd62c2&quot;,&quot;title&quot;:&quot;A review of the metastable omega phase in beta titanium alloys: the phase transformation mechanisms and its effect on mechanical properties&quot;,&quot;author&quot;:[{&quot;family&quot;:&quot;Ballor&quot;,&quot;given&quot;:&quot;Jo Ann&quot;,&quot;parse-names&quot;:false,&quot;dropping-particle&quot;:&quot;&quot;,&quot;non-dropping-particle&quot;:&quot;&quot;},{&quot;family&quot;:&quot;Li&quot;,&quot;given&quot;:&quot;Tong&quot;,&quot;parse-names&quot;:false,&quot;dropping-particle&quot;:&quot;&quot;,&quot;non-dropping-particle&quot;:&quot;&quot;},{&quot;family&quot;:&quot;Prima&quot;,&quot;given&quot;:&quot;Frédéric&quot;,&quot;parse-names&quot;:false,&quot;dropping-particle&quot;:&quot;&quot;,&quot;non-dropping-particle&quot;:&quot;&quot;},{&quot;family&quot;:&quot;Boehlert&quot;,&quot;given&quot;:&quot;Carl J.&quot;,&quot;parse-names&quot;:false,&quot;dropping-particle&quot;:&quot;&quot;,&quot;non-dropping-particle&quot;:&quot;&quot;},{&quot;family&quot;:&quot;Devaraj&quot;,&quot;given&quot;:&quot;Arun&quot;,&quot;parse-names&quot;:false,&quot;dropping-particle&quot;:&quot;&quot;,&quot;non-dropping-particle&quot;:&quot;&quot;}],&quot;container-title&quot;:&quot;https://doi.org/10.1080/09506608.2022.2036401&quot;,&quot;accessed&quot;:{&quot;date-parts&quot;:[[2022,4,21]]},&quot;DOI&quot;:&quot;10.1080/09506608.2022.2036401&quot;,&quot;ISSN&quot;:&quot;17432804&quot;,&quot;URL&quot;:&quot;https://www.tandfonline.com/doi/abs/10.1080/09506608.2022.2036401&quot;,&quot;issued&quot;:{&quot;date-parts&quot;:[[2022]]},&quot;abstract&quot;:&quot;Since its discovery in 1954, the omega (ω) phase in titanium and its alloys has attracted substantial attention from researchers. The β-to-ω and ω-to-α phase transformations are central to β-titani...&quot;,&quot;publisher&quot;:&quot;Taylor &amp; Francis&quot;,&quot;container-title-short&quot;:&quot;&quot;},&quot;isTemporary&quot;:false}]}]"/>
    <we:property name="MENDELEY_CITATIONS_STYLE" value="{&quot;id&quot;:&quot;https://www.zotero.org/styles/ieee&quot;,&quot;title&quot;:&quot;IEEE&quot;,&quot;format&quot;:&quot;numeric&quot;,&quot;defaultLocale&quot;:null}"/>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F017F40-67CF-46E9-B939-65F5FCE4F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2411</Words>
  <Characters>13744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 Mossop</dc:creator>
  <cp:keywords/>
  <dc:description/>
  <cp:lastModifiedBy>Mert Celikin</cp:lastModifiedBy>
  <cp:revision>2</cp:revision>
  <dcterms:created xsi:type="dcterms:W3CDTF">2022-09-13T13:14:00Z</dcterms:created>
  <dcterms:modified xsi:type="dcterms:W3CDTF">2022-09-13T13:14:00Z</dcterms:modified>
</cp:coreProperties>
</file>