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ED7C2" w14:textId="17BFD697" w:rsidR="00720511" w:rsidRDefault="00942B2B" w:rsidP="00E2407B">
      <w:pPr>
        <w:pStyle w:val="BodyText"/>
        <w:rPr>
          <w:sz w:val="28"/>
        </w:rPr>
      </w:pPr>
      <w:r w:rsidRPr="00E2407B">
        <w:rPr>
          <w:sz w:val="28"/>
        </w:rPr>
        <w:t>Labrasol®</w:t>
      </w:r>
      <w:r w:rsidR="00A35535">
        <w:rPr>
          <w:sz w:val="28"/>
        </w:rPr>
        <w:t xml:space="preserve"> and</w:t>
      </w:r>
      <w:r w:rsidR="00480B2A">
        <w:rPr>
          <w:sz w:val="28"/>
        </w:rPr>
        <w:t xml:space="preserve"> </w:t>
      </w:r>
      <w:r w:rsidR="00A35535">
        <w:rPr>
          <w:sz w:val="28"/>
        </w:rPr>
        <w:t xml:space="preserve">salts of </w:t>
      </w:r>
      <w:r w:rsidR="00480B2A">
        <w:rPr>
          <w:sz w:val="28"/>
        </w:rPr>
        <w:t>medium chain fatty acid</w:t>
      </w:r>
      <w:r w:rsidR="00A35535">
        <w:rPr>
          <w:sz w:val="28"/>
        </w:rPr>
        <w:t>s can be combined in low concentrations to increase</w:t>
      </w:r>
      <w:r w:rsidRPr="00E2407B">
        <w:rPr>
          <w:sz w:val="28"/>
        </w:rPr>
        <w:t xml:space="preserve"> </w:t>
      </w:r>
      <w:r w:rsidR="00A35535">
        <w:rPr>
          <w:sz w:val="28"/>
        </w:rPr>
        <w:t xml:space="preserve">the </w:t>
      </w:r>
      <w:r w:rsidRPr="00E2407B">
        <w:rPr>
          <w:sz w:val="28"/>
        </w:rPr>
        <w:t>permeability of a macromolecule marker across isolated rat intestinal mucosae</w:t>
      </w:r>
    </w:p>
    <w:p w14:paraId="3B60256B" w14:textId="77777777" w:rsidR="00222ACE" w:rsidRDefault="00222ACE" w:rsidP="00E2407B">
      <w:pPr>
        <w:pStyle w:val="BodyText"/>
        <w:rPr>
          <w:sz w:val="28"/>
        </w:rPr>
      </w:pPr>
    </w:p>
    <w:p w14:paraId="7288519C" w14:textId="77777777" w:rsidR="00222ACE" w:rsidRDefault="00222ACE" w:rsidP="00E2407B">
      <w:pPr>
        <w:pStyle w:val="BodyText"/>
        <w:rPr>
          <w:sz w:val="28"/>
        </w:rPr>
      </w:pPr>
    </w:p>
    <w:p w14:paraId="5BC20FFB" w14:textId="77777777" w:rsidR="00222ACE" w:rsidRDefault="00222ACE" w:rsidP="00E2407B">
      <w:pPr>
        <w:pStyle w:val="BodyText"/>
        <w:rPr>
          <w:sz w:val="28"/>
        </w:rPr>
      </w:pPr>
    </w:p>
    <w:p w14:paraId="3EEC084B" w14:textId="77777777" w:rsidR="00222ACE" w:rsidRDefault="00222ACE" w:rsidP="00E2407B">
      <w:pPr>
        <w:pStyle w:val="BodyText"/>
        <w:rPr>
          <w:sz w:val="28"/>
        </w:rPr>
      </w:pPr>
    </w:p>
    <w:p w14:paraId="72AFC268" w14:textId="77777777" w:rsidR="00222ACE" w:rsidRPr="00E2407B" w:rsidRDefault="00222ACE" w:rsidP="00E2407B">
      <w:pPr>
        <w:pStyle w:val="BodyText"/>
        <w:rPr>
          <w:sz w:val="28"/>
        </w:rPr>
      </w:pPr>
    </w:p>
    <w:p w14:paraId="7354475B" w14:textId="77777777" w:rsidR="00720511" w:rsidRPr="00E2407B" w:rsidRDefault="00942B2B" w:rsidP="00222ACE">
      <w:pPr>
        <w:spacing w:line="360" w:lineRule="auto"/>
        <w:ind w:firstLine="720"/>
        <w:rPr>
          <w:rFonts w:eastAsia="Arial" w:cs="Arial"/>
          <w:sz w:val="28"/>
          <w:szCs w:val="24"/>
        </w:rPr>
      </w:pPr>
      <w:r w:rsidRPr="00E2407B">
        <w:rPr>
          <w:rFonts w:eastAsia="Arial" w:cs="Arial"/>
          <w:sz w:val="28"/>
          <w:szCs w:val="24"/>
        </w:rPr>
        <w:t>Joanne Heade</w:t>
      </w:r>
      <w:r w:rsidRPr="00E2407B">
        <w:rPr>
          <w:rFonts w:eastAsia="Arial" w:cs="Arial"/>
          <w:sz w:val="28"/>
          <w:szCs w:val="24"/>
          <w:vertAlign w:val="superscript"/>
        </w:rPr>
        <w:t>1,3</w:t>
      </w:r>
      <w:r w:rsidRPr="00E2407B">
        <w:rPr>
          <w:rFonts w:eastAsia="Arial" w:cs="Arial"/>
          <w:sz w:val="28"/>
          <w:szCs w:val="24"/>
        </w:rPr>
        <w:t>, Sam Maher</w:t>
      </w:r>
      <w:r w:rsidRPr="00E2407B">
        <w:rPr>
          <w:rFonts w:eastAsia="Arial" w:cs="Arial"/>
          <w:sz w:val="28"/>
          <w:szCs w:val="24"/>
          <w:vertAlign w:val="superscript"/>
        </w:rPr>
        <w:t>2</w:t>
      </w:r>
      <w:r w:rsidRPr="00E2407B">
        <w:rPr>
          <w:rFonts w:eastAsia="Arial" w:cs="Arial"/>
          <w:sz w:val="28"/>
          <w:szCs w:val="24"/>
        </w:rPr>
        <w:t>, Sinead B. Bleiel</w:t>
      </w:r>
      <w:r w:rsidRPr="00E2407B">
        <w:rPr>
          <w:rFonts w:eastAsia="Arial" w:cs="Arial"/>
          <w:sz w:val="28"/>
          <w:szCs w:val="24"/>
          <w:vertAlign w:val="superscript"/>
        </w:rPr>
        <w:t>3</w:t>
      </w:r>
      <w:r w:rsidRPr="00E2407B">
        <w:rPr>
          <w:rFonts w:eastAsia="Arial" w:cs="Arial"/>
          <w:sz w:val="28"/>
          <w:szCs w:val="24"/>
        </w:rPr>
        <w:t>, David J. Brayden</w:t>
      </w:r>
      <w:r w:rsidRPr="00E2407B">
        <w:rPr>
          <w:rFonts w:eastAsia="Arial" w:cs="Arial"/>
          <w:sz w:val="28"/>
          <w:szCs w:val="24"/>
          <w:vertAlign w:val="superscript"/>
        </w:rPr>
        <w:t>1†</w:t>
      </w:r>
    </w:p>
    <w:p w14:paraId="03426CEB" w14:textId="77777777" w:rsidR="00720511" w:rsidRPr="00E2407B" w:rsidRDefault="00720511" w:rsidP="00E2407B">
      <w:pPr>
        <w:spacing w:after="0" w:line="360" w:lineRule="auto"/>
        <w:rPr>
          <w:rFonts w:eastAsia="Arial" w:cs="Arial"/>
          <w:sz w:val="24"/>
          <w:szCs w:val="24"/>
        </w:rPr>
      </w:pPr>
    </w:p>
    <w:p w14:paraId="2659146B" w14:textId="77777777" w:rsidR="00720511" w:rsidRDefault="00720511" w:rsidP="00E2407B">
      <w:pPr>
        <w:spacing w:after="0" w:line="360" w:lineRule="auto"/>
        <w:rPr>
          <w:rFonts w:eastAsia="Arial" w:cs="Arial"/>
          <w:sz w:val="24"/>
          <w:szCs w:val="24"/>
        </w:rPr>
      </w:pPr>
    </w:p>
    <w:p w14:paraId="0007059C" w14:textId="77777777" w:rsidR="00222ACE" w:rsidRDefault="00222ACE" w:rsidP="00E2407B">
      <w:pPr>
        <w:spacing w:after="0" w:line="360" w:lineRule="auto"/>
        <w:rPr>
          <w:rFonts w:eastAsia="Arial" w:cs="Arial"/>
          <w:sz w:val="24"/>
          <w:szCs w:val="24"/>
        </w:rPr>
      </w:pPr>
    </w:p>
    <w:p w14:paraId="286ED56A" w14:textId="77777777" w:rsidR="00222ACE" w:rsidRPr="00E2407B" w:rsidRDefault="00222ACE" w:rsidP="00E2407B">
      <w:pPr>
        <w:spacing w:after="0" w:line="360" w:lineRule="auto"/>
        <w:rPr>
          <w:rFonts w:eastAsia="Arial" w:cs="Arial"/>
          <w:sz w:val="24"/>
          <w:szCs w:val="24"/>
        </w:rPr>
      </w:pPr>
    </w:p>
    <w:p w14:paraId="42710452" w14:textId="77777777" w:rsidR="00720511" w:rsidRPr="00E2407B" w:rsidRDefault="00720511" w:rsidP="00E2407B">
      <w:pPr>
        <w:spacing w:after="0" w:line="360" w:lineRule="auto"/>
        <w:rPr>
          <w:rFonts w:eastAsia="Arial" w:cs="Arial"/>
          <w:sz w:val="24"/>
          <w:szCs w:val="24"/>
        </w:rPr>
      </w:pPr>
    </w:p>
    <w:p w14:paraId="04BF9828" w14:textId="77777777" w:rsidR="00720511" w:rsidRPr="00E2407B" w:rsidRDefault="00720511" w:rsidP="00E2407B">
      <w:pPr>
        <w:spacing w:after="0" w:line="360" w:lineRule="auto"/>
        <w:rPr>
          <w:rFonts w:eastAsia="Arial" w:cs="Arial"/>
          <w:sz w:val="24"/>
          <w:szCs w:val="24"/>
        </w:rPr>
      </w:pPr>
    </w:p>
    <w:p w14:paraId="453CEC41" w14:textId="77777777" w:rsidR="00720511" w:rsidRPr="00E2407B" w:rsidRDefault="00942B2B" w:rsidP="00E2407B">
      <w:pPr>
        <w:spacing w:after="0" w:line="360" w:lineRule="auto"/>
        <w:rPr>
          <w:rFonts w:eastAsia="Arial" w:cs="Arial"/>
          <w:sz w:val="24"/>
          <w:szCs w:val="24"/>
        </w:rPr>
      </w:pPr>
      <w:r w:rsidRPr="00E2407B">
        <w:rPr>
          <w:rFonts w:eastAsia="Arial" w:cs="Arial"/>
          <w:sz w:val="24"/>
          <w:szCs w:val="24"/>
          <w:vertAlign w:val="superscript"/>
        </w:rPr>
        <w:t>1</w:t>
      </w:r>
      <w:r w:rsidRPr="00E2407B">
        <w:rPr>
          <w:rFonts w:eastAsia="Arial" w:cs="Arial"/>
          <w:sz w:val="24"/>
          <w:szCs w:val="24"/>
        </w:rPr>
        <w:t xml:space="preserve">UCD School of Veterinary Medicine and UCD Conway Institute, University College Dublin, Belfield, Dublin 4, </w:t>
      </w:r>
      <w:r w:rsidRPr="00E2407B">
        <w:rPr>
          <w:rFonts w:eastAsia="Arial" w:cs="Arial"/>
          <w:sz w:val="24"/>
          <w:szCs w:val="24"/>
          <w:vertAlign w:val="superscript"/>
        </w:rPr>
        <w:t>2</w:t>
      </w:r>
      <w:r w:rsidRPr="00E2407B">
        <w:rPr>
          <w:rFonts w:eastAsia="Arial" w:cs="Arial"/>
          <w:sz w:val="24"/>
          <w:szCs w:val="24"/>
        </w:rPr>
        <w:t xml:space="preserve">School of Pharmacy, Royal College of Surgeons in Ireland, St. Stephen’s Green, Dublin 2, </w:t>
      </w:r>
      <w:r w:rsidRPr="00E2407B">
        <w:rPr>
          <w:rFonts w:eastAsia="Arial" w:cs="Arial"/>
          <w:sz w:val="24"/>
          <w:szCs w:val="24"/>
          <w:vertAlign w:val="superscript"/>
        </w:rPr>
        <w:t>3</w:t>
      </w:r>
      <w:r w:rsidRPr="00E2407B">
        <w:rPr>
          <w:rFonts w:eastAsia="Arial" w:cs="Arial"/>
          <w:sz w:val="24"/>
          <w:szCs w:val="24"/>
        </w:rPr>
        <w:t>AnaBio Technologies Ltd, IDA Business Park, Carrigtwohill, Co. Cork, Ireland.</w:t>
      </w:r>
    </w:p>
    <w:p w14:paraId="392A2B2A" w14:textId="77777777" w:rsidR="00720511" w:rsidRPr="00E2407B" w:rsidRDefault="00720511" w:rsidP="00E2407B">
      <w:pPr>
        <w:spacing w:after="0" w:line="360" w:lineRule="auto"/>
        <w:rPr>
          <w:rFonts w:eastAsia="Arial" w:cs="Arial"/>
          <w:sz w:val="24"/>
          <w:szCs w:val="24"/>
        </w:rPr>
      </w:pPr>
    </w:p>
    <w:p w14:paraId="21C6C3B9" w14:textId="77777777" w:rsidR="00720511" w:rsidRPr="00E2407B" w:rsidRDefault="00942B2B" w:rsidP="00E2407B">
      <w:pPr>
        <w:spacing w:after="0" w:line="360" w:lineRule="auto"/>
        <w:rPr>
          <w:rFonts w:eastAsia="Arial" w:cs="Arial"/>
          <w:sz w:val="24"/>
          <w:szCs w:val="24"/>
        </w:rPr>
      </w:pPr>
      <w:r w:rsidRPr="00E2407B">
        <w:rPr>
          <w:rFonts w:eastAsia="Arial" w:cs="Arial"/>
          <w:sz w:val="24"/>
          <w:szCs w:val="24"/>
          <w:vertAlign w:val="superscript"/>
        </w:rPr>
        <w:t>†</w:t>
      </w:r>
      <w:r w:rsidRPr="00E2407B">
        <w:rPr>
          <w:rFonts w:eastAsia="Arial" w:cs="Arial"/>
          <w:sz w:val="24"/>
          <w:szCs w:val="24"/>
        </w:rPr>
        <w:t xml:space="preserve">Corresponding author: Tel.: +3537166013, Email: </w:t>
      </w:r>
      <w:hyperlink r:id="rId6">
        <w:r w:rsidRPr="00E2407B">
          <w:rPr>
            <w:rFonts w:eastAsia="Arial" w:cs="Arial"/>
            <w:color w:val="0000FF"/>
            <w:sz w:val="24"/>
            <w:szCs w:val="24"/>
            <w:u w:val="single"/>
          </w:rPr>
          <w:t>david.brayden@ucd.ie</w:t>
        </w:r>
      </w:hyperlink>
    </w:p>
    <w:p w14:paraId="614F6566" w14:textId="77777777" w:rsidR="00720511" w:rsidRPr="00E2407B" w:rsidRDefault="00720511" w:rsidP="00E2407B">
      <w:pPr>
        <w:spacing w:after="0" w:line="360" w:lineRule="auto"/>
        <w:rPr>
          <w:rFonts w:eastAsia="Arial" w:cs="Arial"/>
          <w:sz w:val="24"/>
          <w:szCs w:val="24"/>
        </w:rPr>
      </w:pPr>
    </w:p>
    <w:p w14:paraId="3DF1E80D" w14:textId="77777777" w:rsidR="00720511" w:rsidRPr="00E2407B" w:rsidRDefault="00720511" w:rsidP="00E2407B">
      <w:pPr>
        <w:spacing w:after="0" w:line="360" w:lineRule="auto"/>
        <w:rPr>
          <w:rFonts w:eastAsia="Arial" w:cs="Arial"/>
          <w:sz w:val="24"/>
          <w:szCs w:val="24"/>
        </w:rPr>
      </w:pPr>
    </w:p>
    <w:p w14:paraId="04600714" w14:textId="77777777" w:rsidR="00720511" w:rsidRPr="00E2407B" w:rsidRDefault="00720511" w:rsidP="00E2407B">
      <w:pPr>
        <w:spacing w:after="0" w:line="360" w:lineRule="auto"/>
        <w:rPr>
          <w:rFonts w:eastAsia="Arial" w:cs="Arial"/>
          <w:sz w:val="24"/>
          <w:szCs w:val="24"/>
        </w:rPr>
      </w:pPr>
    </w:p>
    <w:p w14:paraId="72FC4143" w14:textId="77777777" w:rsidR="00720511" w:rsidRPr="00E2407B" w:rsidRDefault="00720511" w:rsidP="00E2407B">
      <w:pPr>
        <w:spacing w:after="0" w:line="360" w:lineRule="auto"/>
        <w:rPr>
          <w:rFonts w:eastAsia="Arial" w:cs="Arial"/>
          <w:sz w:val="24"/>
          <w:szCs w:val="24"/>
        </w:rPr>
      </w:pPr>
    </w:p>
    <w:p w14:paraId="52608D9E" w14:textId="77777777" w:rsidR="00720511" w:rsidRPr="00E2407B" w:rsidRDefault="00720511" w:rsidP="00E2407B">
      <w:pPr>
        <w:spacing w:after="0" w:line="360" w:lineRule="auto"/>
        <w:rPr>
          <w:rFonts w:eastAsia="Arial" w:cs="Arial"/>
          <w:sz w:val="24"/>
          <w:szCs w:val="24"/>
        </w:rPr>
      </w:pPr>
    </w:p>
    <w:p w14:paraId="5D25BDFD" w14:textId="77777777" w:rsidR="00720511" w:rsidRPr="00E2407B" w:rsidRDefault="00720511" w:rsidP="00E2407B">
      <w:pPr>
        <w:spacing w:after="0" w:line="360" w:lineRule="auto"/>
        <w:rPr>
          <w:rFonts w:eastAsia="Arial" w:cs="Arial"/>
          <w:sz w:val="24"/>
          <w:szCs w:val="24"/>
        </w:rPr>
      </w:pPr>
    </w:p>
    <w:p w14:paraId="0BF679B7" w14:textId="77777777" w:rsidR="00720511" w:rsidRPr="00E2407B" w:rsidRDefault="00720511" w:rsidP="00E2407B">
      <w:pPr>
        <w:spacing w:after="0" w:line="360" w:lineRule="auto"/>
        <w:rPr>
          <w:rFonts w:eastAsia="Arial" w:cs="Arial"/>
          <w:b/>
          <w:sz w:val="24"/>
          <w:szCs w:val="24"/>
        </w:rPr>
      </w:pPr>
    </w:p>
    <w:p w14:paraId="3EFE0FA3" w14:textId="77777777" w:rsidR="00222ACE" w:rsidRDefault="00222ACE" w:rsidP="00E2407B">
      <w:pPr>
        <w:spacing w:after="0" w:line="360" w:lineRule="auto"/>
        <w:rPr>
          <w:rFonts w:eastAsia="Arial" w:cs="Arial"/>
          <w:b/>
          <w:sz w:val="24"/>
          <w:szCs w:val="24"/>
        </w:rPr>
      </w:pPr>
    </w:p>
    <w:p w14:paraId="7F5F56C3" w14:textId="77777777" w:rsidR="00720511" w:rsidRPr="00E2407B" w:rsidRDefault="00942B2B" w:rsidP="00E2407B">
      <w:pPr>
        <w:spacing w:after="0" w:line="360" w:lineRule="auto"/>
        <w:rPr>
          <w:rFonts w:eastAsia="Arial" w:cs="Arial"/>
          <w:b/>
          <w:sz w:val="24"/>
          <w:szCs w:val="24"/>
        </w:rPr>
      </w:pPr>
      <w:r w:rsidRPr="00E2407B">
        <w:rPr>
          <w:rFonts w:eastAsia="Arial" w:cs="Arial"/>
          <w:b/>
          <w:sz w:val="24"/>
          <w:szCs w:val="24"/>
        </w:rPr>
        <w:lastRenderedPageBreak/>
        <w:t>ABSTRACT</w:t>
      </w:r>
    </w:p>
    <w:p w14:paraId="07907339" w14:textId="4A5AC3D8" w:rsidR="00720511" w:rsidRPr="00E2407B" w:rsidRDefault="002734BD" w:rsidP="00E2407B">
      <w:pPr>
        <w:spacing w:after="0" w:line="360" w:lineRule="auto"/>
        <w:rPr>
          <w:rFonts w:eastAsia="Arial" w:cs="Arial"/>
          <w:sz w:val="24"/>
          <w:szCs w:val="24"/>
        </w:rPr>
      </w:pPr>
      <w:r>
        <w:rPr>
          <w:rFonts w:eastAsia="Arial" w:cs="Arial"/>
          <w:sz w:val="24"/>
          <w:szCs w:val="24"/>
        </w:rPr>
        <w:t>In addition to their solubilising properties,</w:t>
      </w:r>
      <w:r w:rsidRPr="00E2407B" w:rsidDel="006C48DC">
        <w:rPr>
          <w:rFonts w:eastAsia="Arial" w:cs="Arial"/>
          <w:sz w:val="24"/>
          <w:szCs w:val="24"/>
        </w:rPr>
        <w:t xml:space="preserve"> </w:t>
      </w:r>
      <w:r w:rsidR="005B01B6" w:rsidRPr="00E2407B">
        <w:rPr>
          <w:rFonts w:eastAsia="Arial" w:cs="Arial"/>
          <w:sz w:val="24"/>
          <w:szCs w:val="24"/>
        </w:rPr>
        <w:t xml:space="preserve">excipients used in </w:t>
      </w:r>
      <w:r w:rsidR="006C48DC">
        <w:rPr>
          <w:rFonts w:eastAsia="Arial" w:cs="Arial"/>
          <w:sz w:val="24"/>
          <w:szCs w:val="24"/>
        </w:rPr>
        <w:t>lipid-based formulations (</w:t>
      </w:r>
      <w:r w:rsidR="005B01B6" w:rsidRPr="00E2407B">
        <w:rPr>
          <w:rFonts w:eastAsia="Arial" w:cs="Arial"/>
          <w:sz w:val="24"/>
          <w:szCs w:val="24"/>
        </w:rPr>
        <w:t>LBFs</w:t>
      </w:r>
      <w:r w:rsidR="006C48DC">
        <w:rPr>
          <w:rFonts w:eastAsia="Arial" w:cs="Arial"/>
          <w:sz w:val="24"/>
          <w:szCs w:val="24"/>
        </w:rPr>
        <w:t>)</w:t>
      </w:r>
      <w:r w:rsidR="005B01B6" w:rsidRPr="00E2407B">
        <w:rPr>
          <w:rFonts w:eastAsia="Arial" w:cs="Arial"/>
          <w:sz w:val="24"/>
          <w:szCs w:val="24"/>
        </w:rPr>
        <w:t xml:space="preserve"> </w:t>
      </w:r>
      <w:r>
        <w:rPr>
          <w:rFonts w:eastAsia="Arial" w:cs="Arial"/>
          <w:sz w:val="24"/>
          <w:szCs w:val="24"/>
        </w:rPr>
        <w:t>can</w:t>
      </w:r>
      <w:r w:rsidR="005B01B6" w:rsidRPr="00E2407B">
        <w:rPr>
          <w:rFonts w:eastAsia="Arial" w:cs="Arial"/>
          <w:sz w:val="24"/>
          <w:szCs w:val="24"/>
        </w:rPr>
        <w:t xml:space="preserve"> improve </w:t>
      </w:r>
      <w:r w:rsidR="00936970">
        <w:rPr>
          <w:rFonts w:eastAsia="Arial" w:cs="Arial"/>
          <w:sz w:val="24"/>
          <w:szCs w:val="24"/>
        </w:rPr>
        <w:t xml:space="preserve">intestinal </w:t>
      </w:r>
      <w:r w:rsidR="004005A4" w:rsidRPr="00E2407B">
        <w:rPr>
          <w:rFonts w:eastAsia="Arial" w:cs="Arial"/>
          <w:sz w:val="24"/>
          <w:szCs w:val="24"/>
        </w:rPr>
        <w:t>permeab</w:t>
      </w:r>
      <w:r w:rsidR="005B01B6" w:rsidRPr="00E2407B">
        <w:rPr>
          <w:rFonts w:eastAsia="Arial" w:cs="Arial"/>
          <w:sz w:val="24"/>
          <w:szCs w:val="24"/>
        </w:rPr>
        <w:t>ility of</w:t>
      </w:r>
      <w:r w:rsidR="004005A4" w:rsidRPr="00E2407B">
        <w:rPr>
          <w:rFonts w:eastAsia="Arial" w:cs="Arial"/>
          <w:sz w:val="24"/>
          <w:szCs w:val="24"/>
        </w:rPr>
        <w:t xml:space="preserve"> macromolecules</w:t>
      </w:r>
      <w:r w:rsidR="00284E5A">
        <w:rPr>
          <w:rFonts w:eastAsia="Arial" w:cs="Arial"/>
          <w:sz w:val="24"/>
          <w:szCs w:val="24"/>
        </w:rPr>
        <w:t>.</w:t>
      </w:r>
      <w:r w:rsidR="00942B2B" w:rsidRPr="00E2407B">
        <w:rPr>
          <w:rFonts w:eastAsia="Arial" w:cs="Arial"/>
          <w:sz w:val="24"/>
          <w:szCs w:val="24"/>
        </w:rPr>
        <w:t xml:space="preserve"> </w:t>
      </w:r>
      <w:r w:rsidR="002A01B0">
        <w:rPr>
          <w:rFonts w:eastAsia="Arial" w:cs="Arial"/>
          <w:sz w:val="24"/>
          <w:szCs w:val="24"/>
        </w:rPr>
        <w:t>We</w:t>
      </w:r>
      <w:r w:rsidR="00942B2B" w:rsidRPr="00E2407B">
        <w:rPr>
          <w:rFonts w:eastAsia="Arial" w:cs="Arial"/>
          <w:sz w:val="24"/>
          <w:szCs w:val="24"/>
        </w:rPr>
        <w:t xml:space="preserve"> </w:t>
      </w:r>
      <w:r w:rsidR="005B01B6" w:rsidRPr="00E2407B">
        <w:rPr>
          <w:rFonts w:eastAsia="Arial" w:cs="Arial"/>
          <w:sz w:val="24"/>
          <w:szCs w:val="24"/>
        </w:rPr>
        <w:t>determined</w:t>
      </w:r>
      <w:r w:rsidR="00942B2B" w:rsidRPr="00E2407B">
        <w:rPr>
          <w:rFonts w:eastAsia="Arial" w:cs="Arial"/>
          <w:sz w:val="24"/>
          <w:szCs w:val="24"/>
        </w:rPr>
        <w:t xml:space="preserve"> </w:t>
      </w:r>
      <w:r w:rsidR="00936970">
        <w:rPr>
          <w:rFonts w:eastAsia="Arial" w:cs="Arial"/>
          <w:sz w:val="24"/>
          <w:szCs w:val="24"/>
        </w:rPr>
        <w:t>whether</w:t>
      </w:r>
      <w:r w:rsidR="00936970" w:rsidRPr="00E2407B">
        <w:rPr>
          <w:rFonts w:eastAsia="Arial" w:cs="Arial"/>
          <w:sz w:val="24"/>
          <w:szCs w:val="24"/>
        </w:rPr>
        <w:t xml:space="preserve"> </w:t>
      </w:r>
      <w:r w:rsidR="00936970">
        <w:rPr>
          <w:rFonts w:eastAsia="Arial" w:cs="Arial"/>
          <w:sz w:val="24"/>
          <w:szCs w:val="24"/>
        </w:rPr>
        <w:t>ad-</w:t>
      </w:r>
      <w:r w:rsidR="004247D3" w:rsidRPr="00E2407B">
        <w:rPr>
          <w:rFonts w:eastAsia="Arial" w:cs="Arial"/>
          <w:sz w:val="24"/>
          <w:szCs w:val="24"/>
        </w:rPr>
        <w:t>mixing</w:t>
      </w:r>
      <w:r w:rsidR="001F6DFB" w:rsidRPr="00E2407B">
        <w:rPr>
          <w:rFonts w:eastAsia="Arial" w:cs="Arial"/>
          <w:sz w:val="24"/>
          <w:szCs w:val="24"/>
        </w:rPr>
        <w:t xml:space="preserve"> </w:t>
      </w:r>
      <w:r w:rsidR="00936970">
        <w:rPr>
          <w:rFonts w:eastAsia="Arial" w:cs="Arial"/>
          <w:sz w:val="24"/>
          <w:szCs w:val="24"/>
        </w:rPr>
        <w:t>of medium chain fatty acid (MCFA) permeation</w:t>
      </w:r>
      <w:r w:rsidR="001A1D87" w:rsidRPr="00E2407B">
        <w:rPr>
          <w:rFonts w:eastAsia="Arial" w:cs="Arial"/>
          <w:sz w:val="24"/>
          <w:szCs w:val="24"/>
        </w:rPr>
        <w:t xml:space="preserve"> enhancers</w:t>
      </w:r>
      <w:r w:rsidR="004247D3" w:rsidRPr="00E2407B">
        <w:rPr>
          <w:rFonts w:eastAsia="Arial" w:cs="Arial"/>
          <w:sz w:val="24"/>
          <w:szCs w:val="24"/>
        </w:rPr>
        <w:t xml:space="preserve"> (PEs)</w:t>
      </w:r>
      <w:r w:rsidR="001A1D87" w:rsidRPr="00E2407B">
        <w:rPr>
          <w:rFonts w:eastAsia="Arial" w:cs="Arial"/>
          <w:sz w:val="24"/>
          <w:szCs w:val="24"/>
        </w:rPr>
        <w:t xml:space="preserve"> </w:t>
      </w:r>
      <w:r w:rsidR="001F6DFB" w:rsidRPr="00E2407B">
        <w:rPr>
          <w:rFonts w:eastAsia="Arial" w:cs="Arial"/>
          <w:sz w:val="24"/>
          <w:szCs w:val="24"/>
        </w:rPr>
        <w:t xml:space="preserve">with a lipoidal </w:t>
      </w:r>
      <w:r w:rsidR="00936970">
        <w:rPr>
          <w:rFonts w:eastAsia="Arial" w:cs="Arial"/>
          <w:sz w:val="24"/>
          <w:szCs w:val="24"/>
        </w:rPr>
        <w:t>excipient</w:t>
      </w:r>
      <w:r w:rsidR="00936970" w:rsidRPr="00E2407B">
        <w:rPr>
          <w:rFonts w:eastAsia="Arial" w:cs="Arial"/>
          <w:sz w:val="24"/>
          <w:szCs w:val="24"/>
        </w:rPr>
        <w:t xml:space="preserve"> </w:t>
      </w:r>
      <w:r w:rsidR="001F6DFB" w:rsidRPr="00E2407B">
        <w:rPr>
          <w:rFonts w:eastAsia="Arial" w:cs="Arial"/>
          <w:sz w:val="24"/>
          <w:szCs w:val="24"/>
        </w:rPr>
        <w:t xml:space="preserve">(Labrasol®) could </w:t>
      </w:r>
      <w:r w:rsidR="000E6242" w:rsidRPr="00E2407B">
        <w:rPr>
          <w:rFonts w:eastAsia="Arial" w:cs="Arial"/>
          <w:sz w:val="24"/>
          <w:szCs w:val="24"/>
        </w:rPr>
        <w:t>potentiate</w:t>
      </w:r>
      <w:r w:rsidR="001F6DFB" w:rsidRPr="00E2407B">
        <w:rPr>
          <w:rFonts w:eastAsia="Arial" w:cs="Arial"/>
          <w:sz w:val="24"/>
          <w:szCs w:val="24"/>
        </w:rPr>
        <w:t xml:space="preserve"> </w:t>
      </w:r>
      <w:r w:rsidR="005B01B6" w:rsidRPr="00E2407B">
        <w:rPr>
          <w:rFonts w:eastAsia="Arial" w:cs="Arial"/>
          <w:sz w:val="24"/>
          <w:szCs w:val="24"/>
        </w:rPr>
        <w:t>trans</w:t>
      </w:r>
      <w:r w:rsidR="00222ACE">
        <w:rPr>
          <w:rFonts w:eastAsia="Arial" w:cs="Arial"/>
          <w:sz w:val="24"/>
          <w:szCs w:val="24"/>
        </w:rPr>
        <w:t>-</w:t>
      </w:r>
      <w:r w:rsidR="005B01B6" w:rsidRPr="00E2407B">
        <w:rPr>
          <w:rFonts w:eastAsia="Arial" w:cs="Arial"/>
          <w:sz w:val="24"/>
          <w:szCs w:val="24"/>
        </w:rPr>
        <w:t>epithelial</w:t>
      </w:r>
      <w:r w:rsidR="00942B2B" w:rsidRPr="00E2407B">
        <w:rPr>
          <w:rFonts w:eastAsia="Arial" w:cs="Arial"/>
          <w:sz w:val="24"/>
          <w:szCs w:val="24"/>
        </w:rPr>
        <w:t xml:space="preserve"> flux of</w:t>
      </w:r>
      <w:r w:rsidR="004247D3" w:rsidRPr="00E2407B">
        <w:rPr>
          <w:rFonts w:eastAsia="Arial" w:cs="Arial"/>
          <w:sz w:val="24"/>
          <w:szCs w:val="24"/>
        </w:rPr>
        <w:t xml:space="preserve"> a</w:t>
      </w:r>
      <w:r w:rsidR="001F6DFB" w:rsidRPr="00E2407B">
        <w:rPr>
          <w:rFonts w:eastAsia="Arial" w:cs="Arial"/>
          <w:sz w:val="24"/>
          <w:szCs w:val="24"/>
        </w:rPr>
        <w:t xml:space="preserve"> </w:t>
      </w:r>
      <w:r w:rsidR="00936970">
        <w:rPr>
          <w:rFonts w:eastAsia="Arial" w:cs="Arial"/>
          <w:sz w:val="24"/>
          <w:szCs w:val="24"/>
        </w:rPr>
        <w:t xml:space="preserve">poorly permeable </w:t>
      </w:r>
      <w:r w:rsidR="004247D3" w:rsidRPr="00E2407B">
        <w:rPr>
          <w:rFonts w:eastAsia="Arial" w:cs="Arial"/>
          <w:sz w:val="24"/>
          <w:szCs w:val="24"/>
        </w:rPr>
        <w:t>macromolecule (</w:t>
      </w:r>
      <w:r w:rsidR="001F6DFB" w:rsidRPr="00E2407B">
        <w:rPr>
          <w:rFonts w:eastAsia="Arial" w:cs="Arial"/>
          <w:sz w:val="24"/>
          <w:szCs w:val="24"/>
        </w:rPr>
        <w:t>FITC-dextran 4 kDa</w:t>
      </w:r>
      <w:r w:rsidR="00936970">
        <w:rPr>
          <w:rFonts w:eastAsia="Arial" w:cs="Arial"/>
          <w:sz w:val="24"/>
          <w:szCs w:val="24"/>
        </w:rPr>
        <w:t xml:space="preserve">, </w:t>
      </w:r>
      <w:r w:rsidR="001F6DFB" w:rsidRPr="00E2407B">
        <w:rPr>
          <w:rFonts w:eastAsia="Arial" w:cs="Arial"/>
          <w:sz w:val="24"/>
          <w:szCs w:val="24"/>
        </w:rPr>
        <w:t>FD4</w:t>
      </w:r>
      <w:r w:rsidR="004247D3" w:rsidRPr="00E2407B">
        <w:rPr>
          <w:rFonts w:eastAsia="Arial" w:cs="Arial"/>
          <w:sz w:val="24"/>
          <w:szCs w:val="24"/>
        </w:rPr>
        <w:t>)</w:t>
      </w:r>
      <w:r w:rsidR="001F6DFB" w:rsidRPr="00E2407B">
        <w:rPr>
          <w:rFonts w:eastAsia="Arial" w:cs="Arial"/>
          <w:sz w:val="24"/>
          <w:szCs w:val="24"/>
        </w:rPr>
        <w:t xml:space="preserve"> </w:t>
      </w:r>
      <w:r w:rsidR="00936970">
        <w:rPr>
          <w:rFonts w:eastAsia="Arial" w:cs="Arial"/>
          <w:sz w:val="24"/>
          <w:szCs w:val="24"/>
        </w:rPr>
        <w:t>across</w:t>
      </w:r>
      <w:r w:rsidR="00936970" w:rsidRPr="00E2407B">
        <w:rPr>
          <w:rFonts w:eastAsia="Arial" w:cs="Arial"/>
          <w:sz w:val="24"/>
          <w:szCs w:val="24"/>
        </w:rPr>
        <w:t xml:space="preserve"> </w:t>
      </w:r>
      <w:r w:rsidR="00942B2B" w:rsidRPr="00E2407B">
        <w:rPr>
          <w:rFonts w:eastAsia="Arial" w:cs="Arial"/>
          <w:sz w:val="24"/>
          <w:szCs w:val="24"/>
        </w:rPr>
        <w:t xml:space="preserve">rat intestinal mucosae </w:t>
      </w:r>
      <w:r w:rsidR="001F6DFB" w:rsidRPr="00E2407B">
        <w:rPr>
          <w:rFonts w:eastAsia="Arial" w:cs="Arial"/>
          <w:sz w:val="24"/>
          <w:szCs w:val="24"/>
        </w:rPr>
        <w:t xml:space="preserve">mounted </w:t>
      </w:r>
      <w:r w:rsidR="00942B2B" w:rsidRPr="00E2407B">
        <w:rPr>
          <w:rFonts w:eastAsia="Arial" w:cs="Arial"/>
          <w:sz w:val="24"/>
          <w:szCs w:val="24"/>
        </w:rPr>
        <w:t xml:space="preserve">in Ussing chambers.  </w:t>
      </w:r>
      <w:r w:rsidR="000E6242" w:rsidRPr="00E2407B">
        <w:rPr>
          <w:rFonts w:eastAsia="Arial" w:cs="Arial"/>
          <w:sz w:val="24"/>
          <w:szCs w:val="24"/>
        </w:rPr>
        <w:t>L</w:t>
      </w:r>
      <w:r w:rsidR="00942B2B" w:rsidRPr="00E2407B">
        <w:rPr>
          <w:rFonts w:eastAsia="Arial" w:cs="Arial"/>
          <w:sz w:val="24"/>
          <w:szCs w:val="24"/>
        </w:rPr>
        <w:t>ow concentrations of sodium caprate (C</w:t>
      </w:r>
      <w:r w:rsidR="00942B2B" w:rsidRPr="00E2407B">
        <w:rPr>
          <w:rFonts w:eastAsia="Arial" w:cs="Arial"/>
          <w:sz w:val="24"/>
          <w:szCs w:val="24"/>
          <w:vertAlign w:val="subscript"/>
        </w:rPr>
        <w:t>10</w:t>
      </w:r>
      <w:r w:rsidR="00942B2B" w:rsidRPr="00E2407B">
        <w:rPr>
          <w:rFonts w:eastAsia="Arial" w:cs="Arial"/>
          <w:sz w:val="24"/>
          <w:szCs w:val="24"/>
        </w:rPr>
        <w:t>), sodium undecylenate (C</w:t>
      </w:r>
      <w:r w:rsidR="00942B2B" w:rsidRPr="00E2407B">
        <w:rPr>
          <w:rFonts w:eastAsia="Arial" w:cs="Arial"/>
          <w:sz w:val="24"/>
          <w:szCs w:val="24"/>
          <w:vertAlign w:val="subscript"/>
        </w:rPr>
        <w:t>11:1</w:t>
      </w:r>
      <w:r w:rsidR="00942B2B" w:rsidRPr="00E2407B">
        <w:rPr>
          <w:rFonts w:eastAsia="Arial" w:cs="Arial"/>
          <w:sz w:val="24"/>
          <w:szCs w:val="24"/>
        </w:rPr>
        <w:t>), or sodium laurate (C</w:t>
      </w:r>
      <w:r w:rsidR="00942B2B" w:rsidRPr="00E2407B">
        <w:rPr>
          <w:rFonts w:eastAsia="Arial" w:cs="Arial"/>
          <w:sz w:val="24"/>
          <w:szCs w:val="24"/>
          <w:vertAlign w:val="subscript"/>
        </w:rPr>
        <w:t>12</w:t>
      </w:r>
      <w:r w:rsidR="00942B2B" w:rsidRPr="00E2407B">
        <w:rPr>
          <w:rFonts w:eastAsia="Arial" w:cs="Arial"/>
          <w:sz w:val="24"/>
          <w:szCs w:val="24"/>
        </w:rPr>
        <w:t>) combined with Labrasol® increased the P</w:t>
      </w:r>
      <w:r w:rsidR="00942B2B" w:rsidRPr="00E2407B">
        <w:rPr>
          <w:rFonts w:eastAsia="Arial" w:cs="Arial"/>
          <w:sz w:val="24"/>
          <w:szCs w:val="24"/>
          <w:vertAlign w:val="subscript"/>
        </w:rPr>
        <w:t>app</w:t>
      </w:r>
      <w:r w:rsidR="00942B2B" w:rsidRPr="00E2407B">
        <w:rPr>
          <w:rFonts w:eastAsia="Arial" w:cs="Arial"/>
          <w:sz w:val="24"/>
          <w:szCs w:val="24"/>
        </w:rPr>
        <w:t xml:space="preserve"> of FD4 to values </w:t>
      </w:r>
      <w:r w:rsidR="00936970">
        <w:rPr>
          <w:rFonts w:eastAsia="Arial" w:cs="Arial"/>
          <w:sz w:val="24"/>
          <w:szCs w:val="24"/>
        </w:rPr>
        <w:t xml:space="preserve">typically </w:t>
      </w:r>
      <w:r w:rsidR="002A01B0">
        <w:rPr>
          <w:rFonts w:eastAsia="Arial" w:cs="Arial"/>
          <w:sz w:val="24"/>
          <w:szCs w:val="24"/>
        </w:rPr>
        <w:t>seen</w:t>
      </w:r>
      <w:r w:rsidR="008923F3">
        <w:rPr>
          <w:rFonts w:eastAsia="Arial" w:cs="Arial"/>
          <w:sz w:val="24"/>
          <w:szCs w:val="24"/>
        </w:rPr>
        <w:t xml:space="preserve"> </w:t>
      </w:r>
      <w:r w:rsidR="00936970">
        <w:rPr>
          <w:rFonts w:eastAsia="Arial" w:cs="Arial"/>
          <w:sz w:val="24"/>
          <w:szCs w:val="24"/>
        </w:rPr>
        <w:t xml:space="preserve">with higher concentrations of </w:t>
      </w:r>
      <w:r w:rsidR="00942B2B" w:rsidRPr="00E2407B">
        <w:rPr>
          <w:rFonts w:eastAsia="Arial" w:cs="Arial"/>
          <w:sz w:val="24"/>
          <w:szCs w:val="24"/>
        </w:rPr>
        <w:t xml:space="preserve">MCFAs or Labrasol® alone. </w:t>
      </w:r>
      <w:r w:rsidR="002A01B0">
        <w:rPr>
          <w:rFonts w:eastAsia="Arial" w:cs="Arial"/>
          <w:sz w:val="24"/>
          <w:szCs w:val="24"/>
        </w:rPr>
        <w:t>For</w:t>
      </w:r>
      <w:r w:rsidR="00936970">
        <w:rPr>
          <w:rFonts w:eastAsia="Arial" w:cs="Arial"/>
          <w:sz w:val="24"/>
          <w:szCs w:val="24"/>
        </w:rPr>
        <w:t xml:space="preserve"> example, c</w:t>
      </w:r>
      <w:r w:rsidR="00942B2B" w:rsidRPr="00E2407B">
        <w:rPr>
          <w:rFonts w:eastAsia="Arial" w:cs="Arial"/>
          <w:sz w:val="24"/>
          <w:szCs w:val="24"/>
        </w:rPr>
        <w:t>ombination of C</w:t>
      </w:r>
      <w:r w:rsidR="00942B2B" w:rsidRPr="00E2407B">
        <w:rPr>
          <w:rFonts w:eastAsia="Arial" w:cs="Arial"/>
          <w:sz w:val="24"/>
          <w:szCs w:val="24"/>
          <w:vertAlign w:val="subscript"/>
        </w:rPr>
        <w:t>11:1</w:t>
      </w:r>
      <w:r w:rsidR="00942B2B" w:rsidRPr="00E2407B">
        <w:rPr>
          <w:rFonts w:eastAsia="Arial" w:cs="Arial"/>
          <w:sz w:val="24"/>
          <w:szCs w:val="24"/>
        </w:rPr>
        <w:t xml:space="preserve"> (0.5 mg/mL) with Labrasol® (1 mg/mL) increased the P</w:t>
      </w:r>
      <w:r w:rsidR="00942B2B" w:rsidRPr="00E2407B">
        <w:rPr>
          <w:rFonts w:eastAsia="Arial" w:cs="Arial"/>
          <w:sz w:val="24"/>
          <w:szCs w:val="24"/>
          <w:vertAlign w:val="subscript"/>
        </w:rPr>
        <w:t>app</w:t>
      </w:r>
      <w:r w:rsidR="00942B2B" w:rsidRPr="00E2407B">
        <w:rPr>
          <w:rFonts w:eastAsia="Arial" w:cs="Arial"/>
          <w:sz w:val="24"/>
          <w:szCs w:val="24"/>
        </w:rPr>
        <w:t xml:space="preserve"> of FD4 </w:t>
      </w:r>
      <w:r w:rsidR="00936970">
        <w:rPr>
          <w:rFonts w:eastAsia="Arial" w:cs="Arial"/>
          <w:sz w:val="24"/>
          <w:szCs w:val="24"/>
        </w:rPr>
        <w:t xml:space="preserve">by </w:t>
      </w:r>
      <w:r w:rsidR="00942B2B" w:rsidRPr="00E2407B">
        <w:rPr>
          <w:rFonts w:eastAsia="Arial" w:cs="Arial"/>
          <w:sz w:val="24"/>
          <w:szCs w:val="24"/>
        </w:rPr>
        <w:t>10- and 11-fold over the respective individual agents at the same concentrations</w:t>
      </w:r>
      <w:r w:rsidR="00B0218D">
        <w:rPr>
          <w:rFonts w:eastAsia="Arial" w:cs="Arial"/>
          <w:sz w:val="24"/>
          <w:szCs w:val="24"/>
        </w:rPr>
        <w:t xml:space="preserve"> where no enhancement was evident</w:t>
      </w:r>
      <w:r w:rsidR="00942B2B" w:rsidRPr="00E2407B">
        <w:rPr>
          <w:rFonts w:eastAsia="Arial" w:cs="Arial"/>
          <w:sz w:val="24"/>
          <w:szCs w:val="24"/>
        </w:rPr>
        <w:t xml:space="preserve">. The increased enhancement ratios seen with the combinations were associated with </w:t>
      </w:r>
      <w:r w:rsidR="006C48DC">
        <w:rPr>
          <w:rFonts w:eastAsia="Arial" w:cs="Arial"/>
          <w:sz w:val="24"/>
          <w:szCs w:val="24"/>
        </w:rPr>
        <w:t xml:space="preserve">some perturbation in </w:t>
      </w:r>
      <w:r w:rsidR="00942B2B" w:rsidRPr="00E2407B">
        <w:rPr>
          <w:rFonts w:eastAsia="Arial" w:cs="Arial"/>
          <w:sz w:val="24"/>
          <w:szCs w:val="24"/>
        </w:rPr>
        <w:t xml:space="preserve">intestinal histology and with attenuation of </w:t>
      </w:r>
      <w:r w:rsidR="00936970">
        <w:rPr>
          <w:rFonts w:eastAsia="Arial" w:cs="Arial"/>
          <w:sz w:val="24"/>
          <w:szCs w:val="24"/>
        </w:rPr>
        <w:t>a</w:t>
      </w:r>
      <w:r w:rsidR="00B0218D">
        <w:rPr>
          <w:rFonts w:eastAsia="Arial" w:cs="Arial"/>
          <w:sz w:val="24"/>
          <w:szCs w:val="24"/>
        </w:rPr>
        <w:t>n epithelial</w:t>
      </w:r>
      <w:r w:rsidR="00936970">
        <w:rPr>
          <w:rFonts w:eastAsia="Arial" w:cs="Arial"/>
          <w:sz w:val="24"/>
          <w:szCs w:val="24"/>
        </w:rPr>
        <w:t xml:space="preserve"> functional measure, </w:t>
      </w:r>
      <w:r w:rsidR="00942B2B" w:rsidRPr="00E2407B">
        <w:rPr>
          <w:rFonts w:eastAsia="Arial" w:cs="Arial"/>
          <w:sz w:val="24"/>
          <w:szCs w:val="24"/>
        </w:rPr>
        <w:t>carbachol-stimulated inward short-circuit current (I</w:t>
      </w:r>
      <w:r w:rsidR="00942B2B" w:rsidRPr="00E2407B">
        <w:rPr>
          <w:rFonts w:eastAsia="Arial" w:cs="Arial"/>
          <w:sz w:val="24"/>
          <w:szCs w:val="24"/>
          <w:vertAlign w:val="subscript"/>
        </w:rPr>
        <w:t>sc</w:t>
      </w:r>
      <w:r w:rsidR="00942B2B" w:rsidRPr="00E2407B">
        <w:rPr>
          <w:rFonts w:eastAsia="Arial" w:cs="Arial"/>
          <w:sz w:val="24"/>
          <w:szCs w:val="24"/>
        </w:rPr>
        <w:t xml:space="preserve">). In conclusion, </w:t>
      </w:r>
      <w:r w:rsidR="008923F3">
        <w:rPr>
          <w:rFonts w:eastAsia="Arial" w:cs="Arial"/>
          <w:sz w:val="24"/>
          <w:szCs w:val="24"/>
        </w:rPr>
        <w:t xml:space="preserve">combining </w:t>
      </w:r>
      <w:r w:rsidR="00B0218D">
        <w:rPr>
          <w:rFonts w:eastAsia="Arial" w:cs="Arial"/>
          <w:sz w:val="24"/>
          <w:szCs w:val="24"/>
        </w:rPr>
        <w:t xml:space="preserve">three </w:t>
      </w:r>
      <w:r w:rsidR="008923F3">
        <w:rPr>
          <w:rFonts w:eastAsia="Arial" w:cs="Arial"/>
          <w:sz w:val="24"/>
          <w:szCs w:val="24"/>
        </w:rPr>
        <w:t>MCFAs</w:t>
      </w:r>
      <w:r w:rsidR="008923F3" w:rsidRPr="008923F3">
        <w:rPr>
          <w:rFonts w:eastAsia="Arial" w:cs="Arial"/>
          <w:sz w:val="24"/>
          <w:szCs w:val="24"/>
        </w:rPr>
        <w:t xml:space="preserve"> </w:t>
      </w:r>
      <w:r w:rsidR="00B0218D">
        <w:rPr>
          <w:rFonts w:eastAsia="Arial" w:cs="Arial"/>
          <w:sz w:val="24"/>
          <w:szCs w:val="24"/>
        </w:rPr>
        <w:t xml:space="preserve">separately </w:t>
      </w:r>
      <w:r w:rsidR="008923F3" w:rsidRPr="008923F3">
        <w:rPr>
          <w:rFonts w:eastAsia="Arial" w:cs="Arial"/>
          <w:sz w:val="24"/>
          <w:szCs w:val="24"/>
        </w:rPr>
        <w:t>with Labrasol</w:t>
      </w:r>
      <w:r w:rsidR="008923F3" w:rsidRPr="00E2407B">
        <w:rPr>
          <w:rFonts w:eastAsia="Arial" w:cs="Arial"/>
          <w:sz w:val="24"/>
          <w:szCs w:val="24"/>
        </w:rPr>
        <w:t>®</w:t>
      </w:r>
      <w:r w:rsidR="008923F3" w:rsidRPr="008923F3">
        <w:rPr>
          <w:rFonts w:eastAsia="Arial" w:cs="Arial"/>
          <w:sz w:val="24"/>
          <w:szCs w:val="24"/>
        </w:rPr>
        <w:t xml:space="preserve"> increased the </w:t>
      </w:r>
      <w:r w:rsidR="008923F3" w:rsidRPr="00E2407B">
        <w:rPr>
          <w:rFonts w:eastAsia="Arial" w:cs="Arial"/>
          <w:sz w:val="24"/>
          <w:szCs w:val="24"/>
        </w:rPr>
        <w:t>P</w:t>
      </w:r>
      <w:r w:rsidR="008923F3" w:rsidRPr="00E2407B">
        <w:rPr>
          <w:rFonts w:eastAsia="Arial" w:cs="Arial"/>
          <w:sz w:val="24"/>
          <w:szCs w:val="24"/>
          <w:vertAlign w:val="subscript"/>
        </w:rPr>
        <w:t>app</w:t>
      </w:r>
      <w:r w:rsidR="008923F3" w:rsidRPr="008923F3">
        <w:rPr>
          <w:rFonts w:eastAsia="Arial" w:cs="Arial"/>
          <w:sz w:val="24"/>
          <w:szCs w:val="24"/>
        </w:rPr>
        <w:t xml:space="preserve"> of FD4 to values greater than those </w:t>
      </w:r>
      <w:r w:rsidR="00435872">
        <w:rPr>
          <w:rFonts w:eastAsia="Arial" w:cs="Arial"/>
          <w:sz w:val="24"/>
          <w:szCs w:val="24"/>
        </w:rPr>
        <w:t xml:space="preserve">seen </w:t>
      </w:r>
      <w:r w:rsidR="008923F3" w:rsidRPr="008923F3">
        <w:rPr>
          <w:rFonts w:eastAsia="Arial" w:cs="Arial"/>
          <w:sz w:val="24"/>
          <w:szCs w:val="24"/>
        </w:rPr>
        <w:t>for MCFAs or Labrasol</w:t>
      </w:r>
      <w:r w:rsidR="008923F3" w:rsidRPr="00E2407B">
        <w:rPr>
          <w:rFonts w:eastAsia="Arial" w:cs="Arial"/>
          <w:sz w:val="24"/>
          <w:szCs w:val="24"/>
        </w:rPr>
        <w:t>®</w:t>
      </w:r>
      <w:r w:rsidR="008923F3" w:rsidRPr="008923F3">
        <w:rPr>
          <w:rFonts w:eastAsia="Arial" w:cs="Arial"/>
          <w:sz w:val="24"/>
          <w:szCs w:val="24"/>
        </w:rPr>
        <w:t xml:space="preserve"> alone</w:t>
      </w:r>
      <w:r w:rsidR="008923F3">
        <w:rPr>
          <w:rFonts w:eastAsia="Arial" w:cs="Arial"/>
          <w:sz w:val="24"/>
          <w:szCs w:val="24"/>
        </w:rPr>
        <w:t xml:space="preserve">. </w:t>
      </w:r>
      <w:r w:rsidR="008923F3" w:rsidRPr="008923F3" w:rsidDel="008923F3">
        <w:rPr>
          <w:rFonts w:eastAsia="Arial" w:cs="Arial"/>
          <w:sz w:val="24"/>
          <w:szCs w:val="24"/>
        </w:rPr>
        <w:t xml:space="preserve"> </w:t>
      </w:r>
      <w:r w:rsidR="008923F3">
        <w:rPr>
          <w:rFonts w:eastAsia="Arial" w:cs="Arial"/>
          <w:sz w:val="24"/>
          <w:szCs w:val="24"/>
        </w:rPr>
        <w:t xml:space="preserve">Ultimately, this </w:t>
      </w:r>
      <w:r w:rsidR="00942B2B" w:rsidRPr="00E2407B">
        <w:rPr>
          <w:rFonts w:eastAsia="Arial" w:cs="Arial"/>
          <w:sz w:val="24"/>
          <w:szCs w:val="24"/>
        </w:rPr>
        <w:t xml:space="preserve">may permit lower concentrations of </w:t>
      </w:r>
      <w:r w:rsidR="006C48DC">
        <w:rPr>
          <w:rFonts w:eastAsia="Arial" w:cs="Arial"/>
          <w:sz w:val="24"/>
          <w:szCs w:val="24"/>
        </w:rPr>
        <w:t>MCFA</w:t>
      </w:r>
      <w:r w:rsidR="006C48DC" w:rsidRPr="00E2407B">
        <w:rPr>
          <w:rFonts w:eastAsia="Arial" w:cs="Arial"/>
          <w:sz w:val="24"/>
          <w:szCs w:val="24"/>
        </w:rPr>
        <w:t xml:space="preserve"> </w:t>
      </w:r>
      <w:r w:rsidR="00942B2B" w:rsidRPr="00E2407B">
        <w:rPr>
          <w:rFonts w:eastAsia="Arial" w:cs="Arial"/>
          <w:sz w:val="24"/>
          <w:szCs w:val="24"/>
        </w:rPr>
        <w:t xml:space="preserve">to be used </w:t>
      </w:r>
      <w:r w:rsidR="00435872">
        <w:rPr>
          <w:rFonts w:eastAsia="Arial" w:cs="Arial"/>
          <w:sz w:val="24"/>
          <w:szCs w:val="24"/>
        </w:rPr>
        <w:t xml:space="preserve">in combination with other excipients </w:t>
      </w:r>
      <w:r w:rsidR="00942B2B" w:rsidRPr="00E2407B">
        <w:rPr>
          <w:rFonts w:eastAsia="Arial" w:cs="Arial"/>
          <w:sz w:val="24"/>
          <w:szCs w:val="24"/>
        </w:rPr>
        <w:t>in oral formulations</w:t>
      </w:r>
      <w:r w:rsidR="00936970">
        <w:rPr>
          <w:rFonts w:eastAsia="Arial" w:cs="Arial"/>
          <w:sz w:val="24"/>
          <w:szCs w:val="24"/>
        </w:rPr>
        <w:t xml:space="preserve"> of poorly permeable molecules</w:t>
      </w:r>
      <w:r w:rsidR="00942B2B" w:rsidRPr="00E2407B">
        <w:rPr>
          <w:rFonts w:eastAsia="Arial" w:cs="Arial"/>
          <w:sz w:val="24"/>
          <w:szCs w:val="24"/>
        </w:rPr>
        <w:t>.</w:t>
      </w:r>
    </w:p>
    <w:p w14:paraId="4BA11943" w14:textId="77777777" w:rsidR="00720511" w:rsidRPr="00E2407B" w:rsidRDefault="00720511" w:rsidP="00E2407B">
      <w:pPr>
        <w:spacing w:after="0" w:line="360" w:lineRule="auto"/>
        <w:rPr>
          <w:rFonts w:eastAsia="Arial" w:cs="Arial"/>
          <w:b/>
          <w:sz w:val="24"/>
          <w:szCs w:val="24"/>
        </w:rPr>
      </w:pPr>
    </w:p>
    <w:p w14:paraId="7E530B15" w14:textId="3387CBF8" w:rsidR="00720511" w:rsidRPr="00E2407B" w:rsidRDefault="00942B2B" w:rsidP="00D02016">
      <w:pPr>
        <w:spacing w:after="0" w:line="360" w:lineRule="auto"/>
        <w:rPr>
          <w:rFonts w:eastAsia="Arial" w:cs="Arial"/>
          <w:sz w:val="24"/>
          <w:szCs w:val="24"/>
        </w:rPr>
      </w:pPr>
      <w:r w:rsidRPr="00E2407B">
        <w:rPr>
          <w:rFonts w:eastAsia="Arial" w:cs="Arial"/>
          <w:b/>
          <w:sz w:val="24"/>
          <w:szCs w:val="24"/>
        </w:rPr>
        <w:t xml:space="preserve">KEYWORDS: </w:t>
      </w:r>
      <w:r w:rsidR="003129A5">
        <w:rPr>
          <w:rFonts w:eastAsia="Arial" w:cs="Arial"/>
          <w:sz w:val="24"/>
          <w:szCs w:val="24"/>
        </w:rPr>
        <w:t>permeation</w:t>
      </w:r>
      <w:r w:rsidR="00936970">
        <w:rPr>
          <w:rFonts w:eastAsia="Arial" w:cs="Arial"/>
          <w:sz w:val="24"/>
          <w:szCs w:val="24"/>
        </w:rPr>
        <w:t xml:space="preserve"> </w:t>
      </w:r>
      <w:r w:rsidR="00D02016">
        <w:rPr>
          <w:rFonts w:eastAsia="Arial" w:cs="Arial"/>
          <w:sz w:val="24"/>
          <w:szCs w:val="24"/>
        </w:rPr>
        <w:t xml:space="preserve">enhancer, </w:t>
      </w:r>
      <w:r w:rsidR="00936970">
        <w:rPr>
          <w:rFonts w:eastAsia="Arial" w:cs="Arial"/>
          <w:sz w:val="24"/>
          <w:szCs w:val="24"/>
        </w:rPr>
        <w:t>m</w:t>
      </w:r>
      <w:r w:rsidR="00D02016">
        <w:rPr>
          <w:rFonts w:eastAsia="Arial" w:cs="Arial"/>
          <w:sz w:val="24"/>
          <w:szCs w:val="24"/>
        </w:rPr>
        <w:t xml:space="preserve">acromolecular drug delivery, </w:t>
      </w:r>
      <w:r w:rsidR="00936970">
        <w:rPr>
          <w:rFonts w:eastAsia="Arial" w:cs="Arial"/>
          <w:sz w:val="24"/>
          <w:szCs w:val="24"/>
        </w:rPr>
        <w:t>e</w:t>
      </w:r>
      <w:r w:rsidR="00D02016" w:rsidRPr="00D02016">
        <w:rPr>
          <w:rFonts w:eastAsia="Arial" w:cs="Arial"/>
          <w:sz w:val="24"/>
          <w:szCs w:val="24"/>
        </w:rPr>
        <w:t>p</w:t>
      </w:r>
      <w:r w:rsidR="00D02016">
        <w:rPr>
          <w:rFonts w:eastAsia="Arial" w:cs="Arial"/>
          <w:sz w:val="24"/>
          <w:szCs w:val="24"/>
        </w:rPr>
        <w:t xml:space="preserve">ithelial delivery/permeability, </w:t>
      </w:r>
      <w:r w:rsidR="00936970">
        <w:rPr>
          <w:rFonts w:eastAsia="Arial" w:cs="Arial"/>
          <w:sz w:val="24"/>
          <w:szCs w:val="24"/>
        </w:rPr>
        <w:t xml:space="preserve">peptide </w:t>
      </w:r>
      <w:r w:rsidR="00D02016">
        <w:rPr>
          <w:rFonts w:eastAsia="Arial" w:cs="Arial"/>
          <w:sz w:val="24"/>
          <w:szCs w:val="24"/>
        </w:rPr>
        <w:t xml:space="preserve">delivery, </w:t>
      </w:r>
      <w:r w:rsidR="00936970">
        <w:rPr>
          <w:rFonts w:eastAsia="Arial" w:cs="Arial"/>
          <w:sz w:val="24"/>
          <w:szCs w:val="24"/>
        </w:rPr>
        <w:t>o</w:t>
      </w:r>
      <w:r w:rsidR="00936970" w:rsidRPr="00D02016">
        <w:rPr>
          <w:rFonts w:eastAsia="Arial" w:cs="Arial"/>
          <w:sz w:val="24"/>
          <w:szCs w:val="24"/>
        </w:rPr>
        <w:t xml:space="preserve">ral </w:t>
      </w:r>
      <w:r w:rsidR="00D02016" w:rsidRPr="00D02016">
        <w:rPr>
          <w:rFonts w:eastAsia="Arial" w:cs="Arial"/>
          <w:sz w:val="24"/>
          <w:szCs w:val="24"/>
        </w:rPr>
        <w:t>drug delivery</w:t>
      </w:r>
    </w:p>
    <w:p w14:paraId="52DD2C79" w14:textId="77777777" w:rsidR="00E2407B" w:rsidRDefault="00E2407B" w:rsidP="00E2407B">
      <w:pPr>
        <w:spacing w:after="0" w:line="360" w:lineRule="auto"/>
        <w:rPr>
          <w:rFonts w:eastAsia="Arial" w:cs="Arial"/>
          <w:b/>
          <w:sz w:val="24"/>
          <w:szCs w:val="24"/>
        </w:rPr>
      </w:pPr>
    </w:p>
    <w:p w14:paraId="0A0003F0" w14:textId="77777777" w:rsidR="00E2407B" w:rsidRDefault="00E2407B" w:rsidP="00E2407B">
      <w:pPr>
        <w:spacing w:after="0" w:line="360" w:lineRule="auto"/>
        <w:rPr>
          <w:rFonts w:eastAsia="Arial" w:cs="Arial"/>
          <w:b/>
          <w:sz w:val="24"/>
          <w:szCs w:val="24"/>
        </w:rPr>
      </w:pPr>
    </w:p>
    <w:p w14:paraId="3DA3C9D5" w14:textId="77777777" w:rsidR="00E2407B" w:rsidRDefault="00E2407B" w:rsidP="00E2407B">
      <w:pPr>
        <w:spacing w:after="0" w:line="360" w:lineRule="auto"/>
        <w:rPr>
          <w:rFonts w:eastAsia="Arial" w:cs="Arial"/>
          <w:b/>
          <w:sz w:val="24"/>
          <w:szCs w:val="24"/>
        </w:rPr>
      </w:pPr>
    </w:p>
    <w:p w14:paraId="4F82BA55" w14:textId="77777777" w:rsidR="00E2407B" w:rsidRDefault="00E2407B" w:rsidP="00E2407B">
      <w:pPr>
        <w:spacing w:after="0" w:line="360" w:lineRule="auto"/>
        <w:rPr>
          <w:rFonts w:eastAsia="Arial" w:cs="Arial"/>
          <w:b/>
          <w:sz w:val="24"/>
          <w:szCs w:val="24"/>
        </w:rPr>
      </w:pPr>
    </w:p>
    <w:p w14:paraId="6533336E" w14:textId="77777777" w:rsidR="00E2407B" w:rsidRDefault="00E2407B" w:rsidP="00E2407B">
      <w:pPr>
        <w:spacing w:after="0" w:line="360" w:lineRule="auto"/>
        <w:rPr>
          <w:rFonts w:eastAsia="Arial" w:cs="Arial"/>
          <w:b/>
          <w:sz w:val="24"/>
          <w:szCs w:val="24"/>
        </w:rPr>
      </w:pPr>
    </w:p>
    <w:p w14:paraId="7848FA05" w14:textId="77777777" w:rsidR="00E2407B" w:rsidRDefault="00E2407B" w:rsidP="00E2407B">
      <w:pPr>
        <w:spacing w:after="0" w:line="360" w:lineRule="auto"/>
        <w:rPr>
          <w:rFonts w:eastAsia="Arial" w:cs="Arial"/>
          <w:b/>
          <w:sz w:val="24"/>
          <w:szCs w:val="24"/>
        </w:rPr>
      </w:pPr>
    </w:p>
    <w:p w14:paraId="22AC83B6" w14:textId="77777777" w:rsidR="00E2407B" w:rsidRDefault="00E2407B" w:rsidP="00E2407B">
      <w:pPr>
        <w:spacing w:after="0" w:line="360" w:lineRule="auto"/>
        <w:rPr>
          <w:rFonts w:eastAsia="Arial" w:cs="Arial"/>
          <w:b/>
          <w:sz w:val="24"/>
          <w:szCs w:val="24"/>
        </w:rPr>
      </w:pPr>
    </w:p>
    <w:p w14:paraId="4F459430" w14:textId="77777777" w:rsidR="00E2407B" w:rsidRDefault="00E2407B" w:rsidP="00E2407B">
      <w:pPr>
        <w:spacing w:after="0" w:line="360" w:lineRule="auto"/>
        <w:rPr>
          <w:rFonts w:eastAsia="Arial" w:cs="Arial"/>
          <w:b/>
          <w:sz w:val="24"/>
          <w:szCs w:val="24"/>
        </w:rPr>
      </w:pPr>
    </w:p>
    <w:p w14:paraId="3B52E2AF" w14:textId="77777777" w:rsidR="00E2407B" w:rsidRDefault="00E2407B" w:rsidP="00E2407B">
      <w:pPr>
        <w:spacing w:after="0" w:line="360" w:lineRule="auto"/>
        <w:rPr>
          <w:rFonts w:eastAsia="Arial" w:cs="Arial"/>
          <w:b/>
          <w:sz w:val="24"/>
          <w:szCs w:val="24"/>
        </w:rPr>
      </w:pPr>
    </w:p>
    <w:p w14:paraId="75CF26F7" w14:textId="77777777" w:rsidR="00E2407B" w:rsidRPr="00E2407B" w:rsidRDefault="00E2407B" w:rsidP="00E2407B">
      <w:pPr>
        <w:spacing w:after="0" w:line="360" w:lineRule="auto"/>
        <w:rPr>
          <w:rFonts w:eastAsia="Arial" w:cs="Arial"/>
          <w:b/>
          <w:sz w:val="24"/>
          <w:szCs w:val="24"/>
        </w:rPr>
      </w:pPr>
    </w:p>
    <w:p w14:paraId="0ED1353D" w14:textId="77777777" w:rsidR="002A01B0" w:rsidRDefault="002A01B0" w:rsidP="00E2407B">
      <w:pPr>
        <w:spacing w:after="0" w:line="360" w:lineRule="auto"/>
        <w:rPr>
          <w:rFonts w:eastAsia="Arial" w:cs="Arial"/>
          <w:b/>
          <w:sz w:val="24"/>
          <w:szCs w:val="24"/>
        </w:rPr>
      </w:pPr>
    </w:p>
    <w:p w14:paraId="0AF42AC6" w14:textId="77777777" w:rsidR="002A01B0" w:rsidRPr="00E2407B" w:rsidRDefault="002A01B0" w:rsidP="00E2407B">
      <w:pPr>
        <w:spacing w:after="0" w:line="360" w:lineRule="auto"/>
        <w:rPr>
          <w:rFonts w:eastAsia="Arial" w:cs="Arial"/>
          <w:b/>
          <w:sz w:val="24"/>
          <w:szCs w:val="24"/>
        </w:rPr>
      </w:pPr>
    </w:p>
    <w:p w14:paraId="41F5AE81" w14:textId="7BA8CB52" w:rsidR="00720511" w:rsidRPr="00E2407B" w:rsidRDefault="00942B2B" w:rsidP="00E2407B">
      <w:pPr>
        <w:spacing w:after="0" w:line="360" w:lineRule="auto"/>
        <w:rPr>
          <w:rFonts w:eastAsia="Arial" w:cs="Arial"/>
          <w:sz w:val="24"/>
          <w:szCs w:val="24"/>
        </w:rPr>
      </w:pPr>
      <w:r w:rsidRPr="00E2407B">
        <w:rPr>
          <w:rFonts w:eastAsia="Arial" w:cs="Arial"/>
          <w:b/>
          <w:sz w:val="24"/>
          <w:szCs w:val="24"/>
        </w:rPr>
        <w:lastRenderedPageBreak/>
        <w:t>GLOSSARY</w:t>
      </w:r>
      <w:r w:rsidRPr="00E2407B">
        <w:rPr>
          <w:rFonts w:eastAsia="Arial" w:cs="Arial"/>
          <w:sz w:val="24"/>
          <w:szCs w:val="24"/>
        </w:rPr>
        <w:t>: BA: Bioavailability, BCS: Biopharmaceutics Classification System, C</w:t>
      </w:r>
      <w:r w:rsidRPr="00E2407B">
        <w:rPr>
          <w:rFonts w:eastAsia="Arial" w:cs="Arial"/>
          <w:sz w:val="24"/>
          <w:szCs w:val="24"/>
          <w:vertAlign w:val="subscript"/>
        </w:rPr>
        <w:t>10</w:t>
      </w:r>
      <w:r w:rsidRPr="00E2407B">
        <w:rPr>
          <w:rFonts w:eastAsia="Arial" w:cs="Arial"/>
          <w:sz w:val="24"/>
          <w:szCs w:val="24"/>
        </w:rPr>
        <w:t>: sodium caprate, C</w:t>
      </w:r>
      <w:r w:rsidRPr="00E2407B">
        <w:rPr>
          <w:rFonts w:eastAsia="Arial" w:cs="Arial"/>
          <w:sz w:val="24"/>
          <w:szCs w:val="24"/>
          <w:vertAlign w:val="subscript"/>
        </w:rPr>
        <w:t>11:1</w:t>
      </w:r>
      <w:r w:rsidRPr="00E2407B">
        <w:rPr>
          <w:rFonts w:eastAsia="Arial" w:cs="Arial"/>
          <w:sz w:val="24"/>
          <w:szCs w:val="24"/>
        </w:rPr>
        <w:t>: sodium undecylenate, C</w:t>
      </w:r>
      <w:r w:rsidRPr="00E2407B">
        <w:rPr>
          <w:rFonts w:eastAsia="Arial" w:cs="Arial"/>
          <w:sz w:val="24"/>
          <w:szCs w:val="24"/>
          <w:vertAlign w:val="subscript"/>
        </w:rPr>
        <w:t>12</w:t>
      </w:r>
      <w:r w:rsidRPr="00E2407B">
        <w:rPr>
          <w:rFonts w:eastAsia="Arial" w:cs="Arial"/>
          <w:sz w:val="24"/>
          <w:szCs w:val="24"/>
        </w:rPr>
        <w:t>: sodium laurate, CCh: carbachol, ER: enhancement ratio, FD4: fluorescein isothiocyanate dextran 4 kDa, HLB:  Hydrophilic:Lipophilic Balance, ΔI</w:t>
      </w:r>
      <w:r w:rsidRPr="00E2407B">
        <w:rPr>
          <w:rFonts w:eastAsia="Arial" w:cs="Arial"/>
          <w:sz w:val="24"/>
          <w:szCs w:val="24"/>
          <w:vertAlign w:val="subscript"/>
        </w:rPr>
        <w:t>SC</w:t>
      </w:r>
      <w:r w:rsidRPr="00E2407B">
        <w:rPr>
          <w:rFonts w:eastAsia="Arial" w:cs="Arial"/>
          <w:sz w:val="24"/>
          <w:szCs w:val="24"/>
        </w:rPr>
        <w:t xml:space="preserve">: change in inward short-circuit current, KH: Krebs-Henseleit buffer, </w:t>
      </w:r>
      <w:r w:rsidR="008672C2">
        <w:rPr>
          <w:rFonts w:eastAsia="Arial" w:cs="Arial"/>
          <w:sz w:val="24"/>
          <w:szCs w:val="24"/>
        </w:rPr>
        <w:t xml:space="preserve">HPMC: hydroxypropyl methylcellulose, </w:t>
      </w:r>
      <w:r w:rsidRPr="00E2407B">
        <w:rPr>
          <w:rFonts w:eastAsia="Arial" w:cs="Arial"/>
          <w:sz w:val="24"/>
          <w:szCs w:val="24"/>
        </w:rPr>
        <w:t>LBF: lipid-based formulation, LFCS: lipid formulation classification system, P</w:t>
      </w:r>
      <w:r w:rsidRPr="00E2407B">
        <w:rPr>
          <w:rFonts w:eastAsia="Arial" w:cs="Arial"/>
          <w:sz w:val="24"/>
          <w:szCs w:val="24"/>
          <w:vertAlign w:val="subscript"/>
        </w:rPr>
        <w:t>app</w:t>
      </w:r>
      <w:r w:rsidRPr="00E2407B">
        <w:rPr>
          <w:rFonts w:eastAsia="Arial" w:cs="Arial"/>
          <w:sz w:val="24"/>
          <w:szCs w:val="24"/>
        </w:rPr>
        <w:t xml:space="preserve">: apparent permeability coefficient, MCFA: medium chain fatty acid, PE: permeation enhancer, PEG: polyethylene glycol, SNAC: Sodium N-[8-(2-hydroxybenzoyl) Amino] </w:t>
      </w:r>
      <w:r w:rsidR="00BD5B3A">
        <w:rPr>
          <w:rFonts w:eastAsia="Arial" w:cs="Arial"/>
          <w:sz w:val="24"/>
          <w:szCs w:val="24"/>
        </w:rPr>
        <w:t>c</w:t>
      </w:r>
      <w:r w:rsidR="00BD5B3A" w:rsidRPr="00E2407B">
        <w:rPr>
          <w:rFonts w:eastAsia="Arial" w:cs="Arial"/>
          <w:sz w:val="24"/>
          <w:szCs w:val="24"/>
        </w:rPr>
        <w:t>aprylate</w:t>
      </w:r>
      <w:r w:rsidRPr="00E2407B">
        <w:rPr>
          <w:rFonts w:eastAsia="Arial" w:cs="Arial"/>
          <w:sz w:val="24"/>
          <w:szCs w:val="24"/>
        </w:rPr>
        <w:t>, SMEDDS: self-microemulsified drug delivery system, TEER: transepithelial electrical resistance.</w:t>
      </w:r>
    </w:p>
    <w:p w14:paraId="09345E30" w14:textId="77777777" w:rsidR="003850FE" w:rsidRPr="00E2407B" w:rsidRDefault="003850FE" w:rsidP="00E2407B">
      <w:pPr>
        <w:spacing w:after="0" w:line="360" w:lineRule="auto"/>
        <w:rPr>
          <w:rFonts w:eastAsia="Arial" w:cs="Arial"/>
          <w:sz w:val="24"/>
          <w:szCs w:val="24"/>
        </w:rPr>
      </w:pPr>
    </w:p>
    <w:p w14:paraId="390E0A51" w14:textId="77777777" w:rsidR="003850FE" w:rsidRPr="00E2407B" w:rsidRDefault="003850FE" w:rsidP="00E2407B">
      <w:pPr>
        <w:spacing w:after="0" w:line="360" w:lineRule="auto"/>
        <w:rPr>
          <w:rFonts w:eastAsia="Arial" w:cs="Arial"/>
          <w:sz w:val="24"/>
          <w:szCs w:val="24"/>
        </w:rPr>
      </w:pPr>
    </w:p>
    <w:p w14:paraId="6AAE85B6" w14:textId="77777777" w:rsidR="003850FE" w:rsidRPr="00E2407B" w:rsidRDefault="003850FE" w:rsidP="00E2407B">
      <w:pPr>
        <w:spacing w:after="0" w:line="360" w:lineRule="auto"/>
        <w:rPr>
          <w:rFonts w:eastAsia="Arial" w:cs="Arial"/>
          <w:sz w:val="24"/>
          <w:szCs w:val="24"/>
        </w:rPr>
      </w:pPr>
    </w:p>
    <w:p w14:paraId="444C917A" w14:textId="77777777" w:rsidR="003850FE" w:rsidRPr="00E2407B" w:rsidRDefault="003850FE" w:rsidP="00E2407B">
      <w:pPr>
        <w:spacing w:after="0" w:line="360" w:lineRule="auto"/>
        <w:rPr>
          <w:rFonts w:eastAsia="Arial" w:cs="Arial"/>
          <w:sz w:val="24"/>
          <w:szCs w:val="24"/>
        </w:rPr>
      </w:pPr>
    </w:p>
    <w:p w14:paraId="4875C08C" w14:textId="77777777" w:rsidR="003850FE" w:rsidRPr="00E2407B" w:rsidRDefault="003850FE" w:rsidP="00E2407B">
      <w:pPr>
        <w:spacing w:after="0" w:line="360" w:lineRule="auto"/>
        <w:rPr>
          <w:rFonts w:eastAsia="Arial" w:cs="Arial"/>
          <w:sz w:val="24"/>
          <w:szCs w:val="24"/>
        </w:rPr>
      </w:pPr>
    </w:p>
    <w:p w14:paraId="6868A2C8" w14:textId="77777777" w:rsidR="003850FE" w:rsidRPr="00E2407B" w:rsidRDefault="003850FE" w:rsidP="00E2407B">
      <w:pPr>
        <w:spacing w:after="0" w:line="360" w:lineRule="auto"/>
        <w:rPr>
          <w:rFonts w:eastAsia="Arial" w:cs="Arial"/>
          <w:sz w:val="24"/>
          <w:szCs w:val="24"/>
        </w:rPr>
      </w:pPr>
    </w:p>
    <w:p w14:paraId="1139D064" w14:textId="77777777" w:rsidR="003850FE" w:rsidRPr="00E2407B" w:rsidRDefault="003850FE" w:rsidP="00E2407B">
      <w:pPr>
        <w:spacing w:after="0" w:line="360" w:lineRule="auto"/>
        <w:rPr>
          <w:rFonts w:eastAsia="Arial" w:cs="Arial"/>
          <w:sz w:val="24"/>
          <w:szCs w:val="24"/>
        </w:rPr>
      </w:pPr>
    </w:p>
    <w:p w14:paraId="71FC37DC" w14:textId="77777777" w:rsidR="003850FE" w:rsidRPr="00E2407B" w:rsidRDefault="003850FE" w:rsidP="00E2407B">
      <w:pPr>
        <w:spacing w:after="0" w:line="360" w:lineRule="auto"/>
        <w:rPr>
          <w:rFonts w:eastAsia="Arial" w:cs="Arial"/>
          <w:sz w:val="24"/>
          <w:szCs w:val="24"/>
        </w:rPr>
      </w:pPr>
    </w:p>
    <w:p w14:paraId="73F7E137" w14:textId="77777777" w:rsidR="003850FE" w:rsidRPr="00E2407B" w:rsidRDefault="003850FE" w:rsidP="00E2407B">
      <w:pPr>
        <w:spacing w:after="0" w:line="360" w:lineRule="auto"/>
        <w:rPr>
          <w:rFonts w:eastAsia="Arial" w:cs="Arial"/>
          <w:sz w:val="24"/>
          <w:szCs w:val="24"/>
        </w:rPr>
      </w:pPr>
    </w:p>
    <w:p w14:paraId="0787E336" w14:textId="77777777" w:rsidR="003850FE" w:rsidRPr="00E2407B" w:rsidRDefault="003850FE" w:rsidP="00E2407B">
      <w:pPr>
        <w:spacing w:after="0" w:line="360" w:lineRule="auto"/>
        <w:rPr>
          <w:rFonts w:eastAsia="Arial" w:cs="Arial"/>
          <w:sz w:val="24"/>
          <w:szCs w:val="24"/>
        </w:rPr>
      </w:pPr>
    </w:p>
    <w:p w14:paraId="03243536" w14:textId="77777777" w:rsidR="003850FE" w:rsidRPr="00E2407B" w:rsidRDefault="003850FE" w:rsidP="00E2407B">
      <w:pPr>
        <w:spacing w:after="0" w:line="360" w:lineRule="auto"/>
        <w:rPr>
          <w:rFonts w:eastAsia="Arial" w:cs="Arial"/>
          <w:sz w:val="24"/>
          <w:szCs w:val="24"/>
        </w:rPr>
      </w:pPr>
    </w:p>
    <w:p w14:paraId="1F19FAA3" w14:textId="77777777" w:rsidR="003850FE" w:rsidRPr="00E2407B" w:rsidRDefault="003850FE" w:rsidP="00E2407B">
      <w:pPr>
        <w:spacing w:after="0" w:line="360" w:lineRule="auto"/>
        <w:rPr>
          <w:rFonts w:eastAsia="Arial" w:cs="Arial"/>
          <w:sz w:val="24"/>
          <w:szCs w:val="24"/>
        </w:rPr>
      </w:pPr>
    </w:p>
    <w:p w14:paraId="42B10487" w14:textId="77777777" w:rsidR="003850FE" w:rsidRPr="00E2407B" w:rsidRDefault="003850FE" w:rsidP="00E2407B">
      <w:pPr>
        <w:spacing w:after="0" w:line="360" w:lineRule="auto"/>
        <w:rPr>
          <w:rFonts w:eastAsia="Arial" w:cs="Arial"/>
          <w:sz w:val="24"/>
          <w:szCs w:val="24"/>
        </w:rPr>
      </w:pPr>
    </w:p>
    <w:p w14:paraId="1C077A33" w14:textId="77777777" w:rsidR="003850FE" w:rsidRPr="00E2407B" w:rsidRDefault="003850FE" w:rsidP="00E2407B">
      <w:pPr>
        <w:spacing w:after="0" w:line="360" w:lineRule="auto"/>
        <w:rPr>
          <w:rFonts w:eastAsia="Arial" w:cs="Arial"/>
          <w:sz w:val="24"/>
          <w:szCs w:val="24"/>
        </w:rPr>
      </w:pPr>
    </w:p>
    <w:p w14:paraId="65E7B11F" w14:textId="77777777" w:rsidR="003850FE" w:rsidRPr="00E2407B" w:rsidRDefault="003850FE" w:rsidP="00E2407B">
      <w:pPr>
        <w:spacing w:after="0" w:line="360" w:lineRule="auto"/>
        <w:rPr>
          <w:rFonts w:eastAsia="Arial" w:cs="Arial"/>
          <w:sz w:val="24"/>
          <w:szCs w:val="24"/>
        </w:rPr>
      </w:pPr>
    </w:p>
    <w:p w14:paraId="0482CDC1" w14:textId="77777777" w:rsidR="003850FE" w:rsidRPr="00E2407B" w:rsidRDefault="003850FE" w:rsidP="00E2407B">
      <w:pPr>
        <w:spacing w:after="0" w:line="360" w:lineRule="auto"/>
        <w:rPr>
          <w:rFonts w:eastAsia="Arial" w:cs="Arial"/>
          <w:sz w:val="24"/>
          <w:szCs w:val="24"/>
        </w:rPr>
      </w:pPr>
    </w:p>
    <w:p w14:paraId="291C1046" w14:textId="77777777" w:rsidR="003850FE" w:rsidRPr="00E2407B" w:rsidRDefault="003850FE" w:rsidP="00E2407B">
      <w:pPr>
        <w:spacing w:after="0" w:line="360" w:lineRule="auto"/>
        <w:rPr>
          <w:rFonts w:eastAsia="Arial" w:cs="Arial"/>
          <w:sz w:val="24"/>
          <w:szCs w:val="24"/>
        </w:rPr>
      </w:pPr>
    </w:p>
    <w:p w14:paraId="34A918E2" w14:textId="77777777" w:rsidR="003850FE" w:rsidRPr="00E2407B" w:rsidRDefault="003850FE" w:rsidP="00E2407B">
      <w:pPr>
        <w:spacing w:after="0" w:line="360" w:lineRule="auto"/>
        <w:rPr>
          <w:rFonts w:eastAsia="Arial" w:cs="Arial"/>
          <w:sz w:val="24"/>
          <w:szCs w:val="24"/>
        </w:rPr>
      </w:pPr>
    </w:p>
    <w:p w14:paraId="562C6C91" w14:textId="77777777" w:rsidR="003850FE" w:rsidRPr="00E2407B" w:rsidRDefault="003850FE" w:rsidP="00E2407B">
      <w:pPr>
        <w:spacing w:after="0" w:line="360" w:lineRule="auto"/>
        <w:rPr>
          <w:rFonts w:eastAsia="Arial" w:cs="Arial"/>
          <w:sz w:val="24"/>
          <w:szCs w:val="24"/>
        </w:rPr>
      </w:pPr>
    </w:p>
    <w:p w14:paraId="014DE80C" w14:textId="77777777" w:rsidR="003850FE" w:rsidRPr="00E2407B" w:rsidRDefault="003850FE" w:rsidP="00E2407B">
      <w:pPr>
        <w:spacing w:after="0" w:line="360" w:lineRule="auto"/>
        <w:rPr>
          <w:rFonts w:eastAsia="Arial" w:cs="Arial"/>
          <w:sz w:val="24"/>
          <w:szCs w:val="24"/>
        </w:rPr>
      </w:pPr>
    </w:p>
    <w:p w14:paraId="24CBC105" w14:textId="77777777" w:rsidR="003850FE" w:rsidRPr="00E2407B" w:rsidRDefault="003850FE" w:rsidP="00E2407B">
      <w:pPr>
        <w:spacing w:after="0" w:line="360" w:lineRule="auto"/>
        <w:rPr>
          <w:rFonts w:eastAsia="Arial" w:cs="Arial"/>
          <w:sz w:val="24"/>
          <w:szCs w:val="24"/>
        </w:rPr>
      </w:pPr>
    </w:p>
    <w:p w14:paraId="3FFFD959" w14:textId="77777777" w:rsidR="00045300" w:rsidRDefault="00045300" w:rsidP="00E2407B">
      <w:pPr>
        <w:spacing w:after="0" w:line="360" w:lineRule="auto"/>
        <w:rPr>
          <w:rFonts w:eastAsia="Arial" w:cs="Arial"/>
          <w:sz w:val="24"/>
          <w:szCs w:val="24"/>
        </w:rPr>
      </w:pPr>
    </w:p>
    <w:p w14:paraId="55420C70" w14:textId="77777777" w:rsidR="00045300" w:rsidRDefault="00045300" w:rsidP="00E2407B">
      <w:pPr>
        <w:spacing w:after="0" w:line="360" w:lineRule="auto"/>
        <w:rPr>
          <w:rFonts w:eastAsia="Arial" w:cs="Arial"/>
          <w:sz w:val="24"/>
          <w:szCs w:val="24"/>
        </w:rPr>
      </w:pPr>
    </w:p>
    <w:p w14:paraId="61E40E1C" w14:textId="77777777" w:rsidR="00045300" w:rsidRDefault="00045300" w:rsidP="00E2407B">
      <w:pPr>
        <w:spacing w:after="0" w:line="360" w:lineRule="auto"/>
        <w:rPr>
          <w:rFonts w:eastAsia="Arial" w:cs="Arial"/>
          <w:sz w:val="24"/>
          <w:szCs w:val="24"/>
        </w:rPr>
      </w:pPr>
    </w:p>
    <w:p w14:paraId="04FE37D2" w14:textId="77777777" w:rsidR="00045300" w:rsidRPr="00E2407B" w:rsidRDefault="00045300" w:rsidP="00E2407B">
      <w:pPr>
        <w:spacing w:after="0" w:line="360" w:lineRule="auto"/>
        <w:rPr>
          <w:rFonts w:eastAsia="Arial" w:cs="Arial"/>
          <w:sz w:val="24"/>
          <w:szCs w:val="24"/>
        </w:rPr>
      </w:pPr>
    </w:p>
    <w:p w14:paraId="06321887" w14:textId="77777777" w:rsidR="00720511" w:rsidRPr="00E2407B" w:rsidRDefault="00942B2B" w:rsidP="00E2407B">
      <w:pPr>
        <w:spacing w:after="0" w:line="360" w:lineRule="auto"/>
        <w:rPr>
          <w:rFonts w:eastAsia="Arial" w:cs="Arial"/>
          <w:b/>
          <w:sz w:val="24"/>
          <w:szCs w:val="24"/>
        </w:rPr>
      </w:pPr>
      <w:r w:rsidRPr="00E2407B">
        <w:rPr>
          <w:rFonts w:eastAsia="Arial" w:cs="Arial"/>
          <w:b/>
          <w:sz w:val="24"/>
          <w:szCs w:val="24"/>
        </w:rPr>
        <w:lastRenderedPageBreak/>
        <w:t>INTRODUCTION</w:t>
      </w:r>
    </w:p>
    <w:p w14:paraId="4AE3B38E" w14:textId="5F5F616E" w:rsidR="00720511" w:rsidRPr="00E2407B" w:rsidRDefault="003850FE" w:rsidP="00E2407B">
      <w:pPr>
        <w:spacing w:after="300" w:line="360" w:lineRule="auto"/>
        <w:rPr>
          <w:rFonts w:eastAsia="Arial" w:cs="Arial"/>
          <w:sz w:val="24"/>
          <w:szCs w:val="24"/>
        </w:rPr>
      </w:pPr>
      <w:r w:rsidRPr="00584BC9">
        <w:rPr>
          <w:rFonts w:eastAsia="Arial"/>
          <w:sz w:val="24"/>
        </w:rPr>
        <w:t>Approved i</w:t>
      </w:r>
      <w:r w:rsidR="00942B2B" w:rsidRPr="00584BC9">
        <w:rPr>
          <w:rFonts w:eastAsia="Arial"/>
          <w:sz w:val="24"/>
        </w:rPr>
        <w:t xml:space="preserve">njectable peptides </w:t>
      </w:r>
      <w:r w:rsidR="00584BC9">
        <w:rPr>
          <w:rFonts w:eastAsia="Arial"/>
          <w:sz w:val="24"/>
        </w:rPr>
        <w:t xml:space="preserve">typically </w:t>
      </w:r>
      <w:r w:rsidRPr="00584BC9">
        <w:rPr>
          <w:rFonts w:eastAsia="Arial"/>
          <w:sz w:val="24"/>
        </w:rPr>
        <w:t xml:space="preserve">have excellent </w:t>
      </w:r>
      <w:r w:rsidR="00BB6613" w:rsidRPr="00584BC9">
        <w:rPr>
          <w:rFonts w:eastAsia="Arial"/>
          <w:sz w:val="24"/>
        </w:rPr>
        <w:t>s</w:t>
      </w:r>
      <w:r w:rsidR="00942B2B" w:rsidRPr="00584BC9">
        <w:rPr>
          <w:rFonts w:eastAsia="Arial"/>
          <w:sz w:val="24"/>
        </w:rPr>
        <w:t>afety</w:t>
      </w:r>
      <w:r w:rsidR="004D1CE7" w:rsidRPr="00584BC9">
        <w:rPr>
          <w:rFonts w:eastAsia="Arial"/>
          <w:sz w:val="24"/>
        </w:rPr>
        <w:t>, efficacy and tolerability</w:t>
      </w:r>
      <w:r w:rsidR="00942B2B" w:rsidRPr="00E2407B">
        <w:rPr>
          <w:rFonts w:eastAsia="Arial" w:cs="Arial"/>
          <w:sz w:val="24"/>
          <w:szCs w:val="24"/>
        </w:rPr>
        <w:t xml:space="preserve">. However, most display enzymatic instability and </w:t>
      </w:r>
      <w:r w:rsidR="00466F9E" w:rsidRPr="00E2407B">
        <w:rPr>
          <w:rFonts w:eastAsia="Arial" w:cs="Arial"/>
          <w:sz w:val="24"/>
          <w:szCs w:val="24"/>
        </w:rPr>
        <w:t>low</w:t>
      </w:r>
      <w:r w:rsidR="00942B2B" w:rsidRPr="00E2407B">
        <w:rPr>
          <w:rFonts w:eastAsia="Arial" w:cs="Arial"/>
          <w:sz w:val="24"/>
          <w:szCs w:val="24"/>
        </w:rPr>
        <w:t xml:space="preserve"> intestinal permeability, thereby precluding oral formulation [</w:t>
      </w:r>
      <w:hyperlink w:anchor="_30j0zll">
        <w:r w:rsidR="00942B2B" w:rsidRPr="00E2407B">
          <w:rPr>
            <w:rFonts w:eastAsia="Arial" w:cs="Arial"/>
            <w:sz w:val="24"/>
            <w:szCs w:val="24"/>
          </w:rPr>
          <w:t>1</w:t>
        </w:r>
      </w:hyperlink>
      <w:r w:rsidR="006D1AE7" w:rsidRPr="00E2407B">
        <w:rPr>
          <w:rFonts w:eastAsia="Arial" w:cs="Arial"/>
          <w:sz w:val="24"/>
          <w:szCs w:val="24"/>
        </w:rPr>
        <w:t>]</w:t>
      </w:r>
      <w:r w:rsidR="00942B2B" w:rsidRPr="00E2407B">
        <w:rPr>
          <w:rFonts w:eastAsia="Arial" w:cs="Arial"/>
          <w:sz w:val="24"/>
          <w:szCs w:val="24"/>
        </w:rPr>
        <w:t xml:space="preserve">. Development of delivery technologies that improve oral bioavailability (BA) of therapeutic peptides, proteins, and </w:t>
      </w:r>
      <w:r w:rsidR="006D1AE7" w:rsidRPr="00E2407B">
        <w:rPr>
          <w:rFonts w:eastAsia="Arial" w:cs="Arial"/>
          <w:sz w:val="24"/>
          <w:szCs w:val="24"/>
        </w:rPr>
        <w:t xml:space="preserve">other </w:t>
      </w:r>
      <w:r w:rsidR="00942B2B" w:rsidRPr="00E2407B">
        <w:rPr>
          <w:rFonts w:eastAsia="Arial" w:cs="Arial"/>
          <w:sz w:val="24"/>
          <w:szCs w:val="24"/>
        </w:rPr>
        <w:t>macromolecules could permit reformulation of a number of marketed injectable molecules and</w:t>
      </w:r>
      <w:r w:rsidRPr="00E2407B">
        <w:rPr>
          <w:rFonts w:eastAsia="Arial" w:cs="Arial"/>
          <w:sz w:val="24"/>
          <w:szCs w:val="24"/>
        </w:rPr>
        <w:t xml:space="preserve"> could also</w:t>
      </w:r>
      <w:r w:rsidR="00942B2B" w:rsidRPr="00E2407B">
        <w:rPr>
          <w:rFonts w:eastAsia="Arial" w:cs="Arial"/>
          <w:sz w:val="24"/>
          <w:szCs w:val="24"/>
        </w:rPr>
        <w:t xml:space="preserve"> </w:t>
      </w:r>
      <w:r w:rsidR="006D1AE7" w:rsidRPr="00E2407B">
        <w:rPr>
          <w:rFonts w:eastAsia="Arial" w:cs="Arial"/>
          <w:sz w:val="24"/>
          <w:szCs w:val="24"/>
        </w:rPr>
        <w:t xml:space="preserve">promote </w:t>
      </w:r>
      <w:r w:rsidRPr="00E2407B">
        <w:rPr>
          <w:rFonts w:eastAsia="Arial" w:cs="Arial"/>
          <w:sz w:val="24"/>
          <w:szCs w:val="24"/>
        </w:rPr>
        <w:t>oral formulation in lead optimisation</w:t>
      </w:r>
      <w:r w:rsidR="00942B2B" w:rsidRPr="00E2407B">
        <w:rPr>
          <w:rFonts w:eastAsia="Arial" w:cs="Arial"/>
          <w:sz w:val="24"/>
          <w:szCs w:val="24"/>
        </w:rPr>
        <w:t xml:space="preserve">. An oral peptide delivery system must protect labile groups from pre-systemic degradation and improve </w:t>
      </w:r>
      <w:r w:rsidRPr="00E2407B">
        <w:rPr>
          <w:rFonts w:eastAsia="Arial" w:cs="Arial"/>
          <w:sz w:val="24"/>
          <w:szCs w:val="24"/>
        </w:rPr>
        <w:t xml:space="preserve">small </w:t>
      </w:r>
      <w:r w:rsidR="00942B2B" w:rsidRPr="00E2407B">
        <w:rPr>
          <w:rFonts w:eastAsia="Arial" w:cs="Arial"/>
          <w:sz w:val="24"/>
          <w:szCs w:val="24"/>
        </w:rPr>
        <w:t xml:space="preserve">intestinal permeability. A wide range of delivery strategies have </w:t>
      </w:r>
      <w:r w:rsidR="006D1AE7" w:rsidRPr="00E2407B">
        <w:rPr>
          <w:rFonts w:eastAsia="Arial" w:cs="Arial"/>
          <w:sz w:val="24"/>
          <w:szCs w:val="24"/>
        </w:rPr>
        <w:t xml:space="preserve">attempted to address these problems </w:t>
      </w:r>
      <w:r w:rsidR="00942B2B" w:rsidRPr="00E2407B">
        <w:rPr>
          <w:rFonts w:eastAsia="Arial" w:cs="Arial"/>
          <w:sz w:val="24"/>
          <w:szCs w:val="24"/>
        </w:rPr>
        <w:t>including intestinal permeation enhancers (PEs), micro/nano encapsulation, structural modification</w:t>
      </w:r>
      <w:r w:rsidR="006D1AE7" w:rsidRPr="00E2407B">
        <w:rPr>
          <w:rFonts w:eastAsia="Arial" w:cs="Arial"/>
          <w:sz w:val="24"/>
          <w:szCs w:val="24"/>
        </w:rPr>
        <w:t xml:space="preserve"> and more recently lipoidal vehicles</w:t>
      </w:r>
      <w:r w:rsidR="00942B2B" w:rsidRPr="00E2407B">
        <w:rPr>
          <w:rFonts w:eastAsia="Arial" w:cs="Arial"/>
          <w:sz w:val="24"/>
          <w:szCs w:val="24"/>
        </w:rPr>
        <w:t xml:space="preserve"> [</w:t>
      </w:r>
      <w:hyperlink w:anchor="_1fob9te">
        <w:r w:rsidR="00942B2B" w:rsidRPr="00E2407B">
          <w:rPr>
            <w:rFonts w:eastAsia="Arial" w:cs="Arial"/>
            <w:sz w:val="24"/>
            <w:szCs w:val="24"/>
          </w:rPr>
          <w:t>2</w:t>
        </w:r>
      </w:hyperlink>
      <w:r w:rsidR="00942B2B" w:rsidRPr="00E2407B">
        <w:rPr>
          <w:rFonts w:eastAsia="Arial" w:cs="Arial"/>
          <w:sz w:val="24"/>
          <w:szCs w:val="24"/>
        </w:rPr>
        <w:t>].</w:t>
      </w:r>
    </w:p>
    <w:p w14:paraId="1C6C377D" w14:textId="6B6D0FB3" w:rsidR="00720511" w:rsidRPr="00E2407B" w:rsidRDefault="00942B2B" w:rsidP="00E2407B">
      <w:pPr>
        <w:spacing w:after="0" w:line="360" w:lineRule="auto"/>
        <w:rPr>
          <w:rFonts w:eastAsia="Arial" w:cs="Arial"/>
          <w:sz w:val="24"/>
          <w:szCs w:val="24"/>
        </w:rPr>
      </w:pPr>
      <w:r w:rsidRPr="00E2407B">
        <w:rPr>
          <w:rFonts w:eastAsia="Arial" w:cs="Arial"/>
          <w:sz w:val="24"/>
          <w:szCs w:val="24"/>
        </w:rPr>
        <w:t xml:space="preserve">A diverse array of lipid dispersions have shown promise in the delivery of high solubility/low permeability compounds including </w:t>
      </w:r>
      <w:r w:rsidR="00584BC9">
        <w:rPr>
          <w:rFonts w:eastAsia="Arial" w:cs="Arial"/>
          <w:sz w:val="24"/>
          <w:szCs w:val="24"/>
        </w:rPr>
        <w:t>water-in-oil</w:t>
      </w:r>
      <w:r w:rsidRPr="00E2407B">
        <w:rPr>
          <w:rFonts w:eastAsia="Arial" w:cs="Arial"/>
          <w:sz w:val="24"/>
          <w:szCs w:val="24"/>
        </w:rPr>
        <w:t xml:space="preserve"> microemulsions [</w:t>
      </w:r>
      <w:hyperlink w:anchor="_3znysh7">
        <w:r w:rsidRPr="00E2407B">
          <w:rPr>
            <w:rFonts w:eastAsia="Arial" w:cs="Arial"/>
            <w:sz w:val="24"/>
            <w:szCs w:val="24"/>
          </w:rPr>
          <w:t>3</w:t>
        </w:r>
      </w:hyperlink>
      <w:r w:rsidRPr="00E2407B">
        <w:rPr>
          <w:rFonts w:eastAsia="Arial" w:cs="Arial"/>
          <w:sz w:val="24"/>
          <w:szCs w:val="24"/>
        </w:rPr>
        <w:t>], reverse micelles [</w:t>
      </w:r>
      <w:hyperlink w:anchor="_2et92p0">
        <w:r w:rsidRPr="00E2407B">
          <w:rPr>
            <w:rFonts w:eastAsia="Arial" w:cs="Arial"/>
            <w:sz w:val="24"/>
            <w:szCs w:val="24"/>
          </w:rPr>
          <w:t>4</w:t>
        </w:r>
      </w:hyperlink>
      <w:r w:rsidRPr="00E2407B">
        <w:rPr>
          <w:rFonts w:eastAsia="Arial" w:cs="Arial"/>
          <w:sz w:val="24"/>
          <w:szCs w:val="24"/>
        </w:rPr>
        <w:t>], oily suspensions/solutions [</w:t>
      </w:r>
      <w:hyperlink w:anchor="_tyjcwt">
        <w:r w:rsidRPr="00E2407B">
          <w:rPr>
            <w:rFonts w:eastAsia="Arial" w:cs="Arial"/>
            <w:sz w:val="24"/>
            <w:szCs w:val="24"/>
          </w:rPr>
          <w:t>5</w:t>
        </w:r>
      </w:hyperlink>
      <w:r w:rsidRPr="00E2407B">
        <w:rPr>
          <w:rFonts w:eastAsia="Arial" w:cs="Arial"/>
          <w:sz w:val="24"/>
          <w:szCs w:val="24"/>
        </w:rPr>
        <w:t>], solid lipid nanoparticles [</w:t>
      </w:r>
      <w:hyperlink w:anchor="_3dy6vkm">
        <w:r w:rsidRPr="00E2407B">
          <w:rPr>
            <w:rFonts w:eastAsia="Arial" w:cs="Arial"/>
            <w:sz w:val="24"/>
            <w:szCs w:val="24"/>
          </w:rPr>
          <w:t>6</w:t>
        </w:r>
      </w:hyperlink>
      <w:r w:rsidRPr="00E2407B">
        <w:rPr>
          <w:rFonts w:eastAsia="Arial" w:cs="Arial"/>
          <w:sz w:val="24"/>
          <w:szCs w:val="24"/>
        </w:rPr>
        <w:t>] and multiple emulsions [</w:t>
      </w:r>
      <w:hyperlink w:anchor="_1t3h5sf">
        <w:r w:rsidRPr="00E2407B">
          <w:rPr>
            <w:rFonts w:eastAsia="Arial" w:cs="Arial"/>
            <w:sz w:val="24"/>
            <w:szCs w:val="24"/>
          </w:rPr>
          <w:t>7</w:t>
        </w:r>
      </w:hyperlink>
      <w:r w:rsidRPr="00E2407B">
        <w:rPr>
          <w:rFonts w:eastAsia="Arial" w:cs="Arial"/>
          <w:sz w:val="24"/>
          <w:szCs w:val="24"/>
        </w:rPr>
        <w:t>]. Lipid based formulations (LBFs) are one of the most effective strategies for formulation of molecules that violate Lipinski’s Rule-of-5 [</w:t>
      </w:r>
      <w:hyperlink w:anchor="_4d34og8">
        <w:r w:rsidRPr="00E2407B">
          <w:rPr>
            <w:rFonts w:eastAsia="Arial" w:cs="Arial"/>
            <w:sz w:val="24"/>
            <w:szCs w:val="24"/>
          </w:rPr>
          <w:t>8-10</w:t>
        </w:r>
      </w:hyperlink>
      <w:r w:rsidRPr="00E2407B">
        <w:rPr>
          <w:rFonts w:eastAsia="Arial" w:cs="Arial"/>
          <w:sz w:val="24"/>
          <w:szCs w:val="24"/>
        </w:rPr>
        <w:t xml:space="preserve">]. The approval of oral cyclosporin in a coarse oil-in-water emulsion pre-concentrate (Sandimmune®, Novartis, Switzerland), and its subsequent reformulation in to a self-microemulsified drug delivery system (SMEDDS) (Neoral®, Novartis), highlighted the potential of LBFs to improve oral absorption of </w:t>
      </w:r>
      <w:r w:rsidR="0056552D">
        <w:rPr>
          <w:rFonts w:eastAsia="Arial" w:cs="Arial"/>
          <w:sz w:val="24"/>
          <w:szCs w:val="24"/>
        </w:rPr>
        <w:t xml:space="preserve">poorly soluble </w:t>
      </w:r>
      <w:r w:rsidRPr="00E2407B">
        <w:rPr>
          <w:rFonts w:eastAsia="Arial" w:cs="Arial"/>
          <w:sz w:val="24"/>
          <w:szCs w:val="24"/>
        </w:rPr>
        <w:t>macromolecules</w:t>
      </w:r>
      <w:r w:rsidR="00584BC9">
        <w:rPr>
          <w:rFonts w:eastAsia="Arial" w:cs="Arial"/>
          <w:sz w:val="24"/>
          <w:szCs w:val="24"/>
        </w:rPr>
        <w:t>. O</w:t>
      </w:r>
      <w:r w:rsidRPr="00E2407B">
        <w:rPr>
          <w:rFonts w:eastAsia="Arial" w:cs="Arial"/>
          <w:sz w:val="24"/>
          <w:szCs w:val="24"/>
        </w:rPr>
        <w:t>therwise they are more commonly used to improve aqueous solubility of lipophilic small molecules from the Biopharmaceutics Classification System (BCS) Class II and IV [</w:t>
      </w:r>
      <w:hyperlink w:anchor="_3rdcrjn">
        <w:r w:rsidRPr="00E2407B">
          <w:rPr>
            <w:rFonts w:eastAsia="Arial" w:cs="Arial"/>
            <w:sz w:val="24"/>
            <w:szCs w:val="24"/>
          </w:rPr>
          <w:t>11</w:t>
        </w:r>
      </w:hyperlink>
      <w:r w:rsidRPr="00E2407B">
        <w:rPr>
          <w:rFonts w:eastAsia="Arial" w:cs="Arial"/>
          <w:sz w:val="24"/>
          <w:szCs w:val="24"/>
        </w:rPr>
        <w:t xml:space="preserve">, </w:t>
      </w:r>
      <w:hyperlink w:anchor="_26in1rg">
        <w:r w:rsidRPr="00E2407B">
          <w:rPr>
            <w:rFonts w:eastAsia="Arial" w:cs="Arial"/>
            <w:sz w:val="24"/>
            <w:szCs w:val="24"/>
          </w:rPr>
          <w:t>12</w:t>
        </w:r>
      </w:hyperlink>
      <w:r w:rsidRPr="00E2407B">
        <w:rPr>
          <w:rFonts w:eastAsia="Arial" w:cs="Arial"/>
          <w:sz w:val="24"/>
          <w:szCs w:val="24"/>
        </w:rPr>
        <w:t xml:space="preserve">]. While the application of LBFs </w:t>
      </w:r>
      <w:r w:rsidR="00584BC9">
        <w:rPr>
          <w:rFonts w:eastAsia="Arial" w:cs="Arial"/>
          <w:sz w:val="24"/>
          <w:szCs w:val="24"/>
        </w:rPr>
        <w:t>for</w:t>
      </w:r>
      <w:r w:rsidR="00584BC9" w:rsidRPr="00E2407B">
        <w:rPr>
          <w:rFonts w:eastAsia="Arial" w:cs="Arial"/>
          <w:sz w:val="24"/>
          <w:szCs w:val="24"/>
        </w:rPr>
        <w:t xml:space="preserve"> </w:t>
      </w:r>
      <w:r w:rsidRPr="00E2407B">
        <w:rPr>
          <w:rFonts w:eastAsia="Arial" w:cs="Arial"/>
          <w:sz w:val="24"/>
          <w:szCs w:val="24"/>
        </w:rPr>
        <w:t>oral delivery of</w:t>
      </w:r>
      <w:r w:rsidR="00CD7D8E">
        <w:rPr>
          <w:rFonts w:eastAsia="Arial" w:cs="Arial"/>
          <w:sz w:val="24"/>
          <w:szCs w:val="24"/>
        </w:rPr>
        <w:t xml:space="preserve"> poorly permeable</w:t>
      </w:r>
      <w:r w:rsidRPr="00E2407B">
        <w:rPr>
          <w:rFonts w:eastAsia="Arial" w:cs="Arial"/>
          <w:sz w:val="24"/>
          <w:szCs w:val="24"/>
        </w:rPr>
        <w:t xml:space="preserve"> peptides has yet to be fully harnessed, there have been a number of recent innovations including dispersions of peptides (and their lipophilic salt forms [</w:t>
      </w:r>
      <w:hyperlink w:anchor="_lnxbz9">
        <w:r w:rsidRPr="00E2407B">
          <w:rPr>
            <w:rFonts w:eastAsia="Arial" w:cs="Arial"/>
            <w:sz w:val="24"/>
            <w:szCs w:val="24"/>
          </w:rPr>
          <w:t>13</w:t>
        </w:r>
      </w:hyperlink>
      <w:r w:rsidRPr="00E2407B">
        <w:rPr>
          <w:rFonts w:eastAsia="Arial" w:cs="Arial"/>
          <w:sz w:val="24"/>
          <w:szCs w:val="24"/>
        </w:rPr>
        <w:t>]) as solutions, suspensions, or nanoparticles-in-lipid blends containing PEs [</w:t>
      </w:r>
      <w:hyperlink w:anchor="_35nkun2">
        <w:r w:rsidRPr="00E2407B">
          <w:rPr>
            <w:rFonts w:eastAsia="Arial" w:cs="Arial"/>
            <w:sz w:val="24"/>
            <w:szCs w:val="24"/>
          </w:rPr>
          <w:t>14</w:t>
        </w:r>
      </w:hyperlink>
      <w:r w:rsidRPr="00E2407B">
        <w:rPr>
          <w:rFonts w:eastAsia="Arial" w:cs="Arial"/>
          <w:sz w:val="24"/>
          <w:szCs w:val="24"/>
        </w:rPr>
        <w:t>].  An example is an oily suspension of octreotide formulated in an enteric-coated capsule (Mycapssa®, Chiasma Pharma, Israel), which completed Phase III trials [15]. Mycapssa® contains TPE</w:t>
      </w:r>
      <w:r w:rsidRPr="00E2407B">
        <w:rPr>
          <w:rFonts w:eastAsia="Arial" w:cs="Arial"/>
          <w:sz w:val="24"/>
          <w:szCs w:val="24"/>
          <w:vertAlign w:val="superscript"/>
        </w:rPr>
        <w:t>TM</w:t>
      </w:r>
      <w:r w:rsidRPr="00E2407B">
        <w:rPr>
          <w:rFonts w:eastAsia="Arial" w:cs="Arial"/>
          <w:sz w:val="24"/>
          <w:szCs w:val="24"/>
        </w:rPr>
        <w:t xml:space="preserve"> (Transient Permeability Enhancer), which combines a surfactant-based PE (C</w:t>
      </w:r>
      <w:r w:rsidRPr="00E2407B">
        <w:rPr>
          <w:rFonts w:eastAsia="Arial" w:cs="Arial"/>
          <w:sz w:val="24"/>
          <w:szCs w:val="24"/>
          <w:vertAlign w:val="subscript"/>
        </w:rPr>
        <w:t>8</w:t>
      </w:r>
      <w:r w:rsidRPr="00E2407B">
        <w:rPr>
          <w:rFonts w:eastAsia="Arial" w:cs="Arial"/>
          <w:sz w:val="24"/>
          <w:szCs w:val="24"/>
        </w:rPr>
        <w:t>) with a suspending agent (povidone) in a lipid base incorporating glyceryl monocaprylate [</w:t>
      </w:r>
      <w:hyperlink w:anchor="_tyjcwt">
        <w:r w:rsidRPr="00E2407B">
          <w:rPr>
            <w:rFonts w:eastAsia="Arial" w:cs="Arial"/>
            <w:sz w:val="24"/>
            <w:szCs w:val="24"/>
          </w:rPr>
          <w:t>5</w:t>
        </w:r>
      </w:hyperlink>
      <w:r w:rsidRPr="00E2407B">
        <w:rPr>
          <w:rFonts w:eastAsia="Arial" w:cs="Arial"/>
          <w:sz w:val="24"/>
          <w:szCs w:val="24"/>
        </w:rPr>
        <w:t xml:space="preserve">]. The trial showed that consistent plasma levels of octreotide can be achieved by the oral route, </w:t>
      </w:r>
      <w:r w:rsidR="005B55E8">
        <w:rPr>
          <w:rFonts w:eastAsia="Arial" w:cs="Arial"/>
          <w:sz w:val="24"/>
          <w:szCs w:val="24"/>
        </w:rPr>
        <w:t>although</w:t>
      </w:r>
      <w:r w:rsidRPr="00E2407B">
        <w:rPr>
          <w:rFonts w:eastAsia="Arial" w:cs="Arial"/>
          <w:sz w:val="24"/>
          <w:szCs w:val="24"/>
        </w:rPr>
        <w:t xml:space="preserve"> the</w:t>
      </w:r>
      <w:r w:rsidR="008E4EA5">
        <w:rPr>
          <w:rFonts w:eastAsia="Arial" w:cs="Arial"/>
          <w:sz w:val="24"/>
          <w:szCs w:val="24"/>
        </w:rPr>
        <w:t xml:space="preserve"> high dose and estimated BA of ~ </w:t>
      </w:r>
      <w:r w:rsidR="005B55E8">
        <w:rPr>
          <w:rFonts w:eastAsia="Arial" w:cs="Arial"/>
          <w:sz w:val="24"/>
          <w:szCs w:val="24"/>
        </w:rPr>
        <w:t>0.</w:t>
      </w:r>
      <w:r w:rsidR="008E4EA5">
        <w:rPr>
          <w:rFonts w:eastAsia="Arial" w:cs="Arial"/>
          <w:sz w:val="24"/>
          <w:szCs w:val="24"/>
        </w:rPr>
        <w:t>5</w:t>
      </w:r>
      <w:r w:rsidRPr="00E2407B">
        <w:rPr>
          <w:rFonts w:eastAsia="Arial" w:cs="Arial"/>
          <w:sz w:val="24"/>
          <w:szCs w:val="24"/>
        </w:rPr>
        <w:t xml:space="preserve">% suggests a </w:t>
      </w:r>
      <w:r w:rsidR="00F737A1">
        <w:rPr>
          <w:rFonts w:eastAsia="Arial" w:cs="Arial"/>
          <w:sz w:val="24"/>
          <w:szCs w:val="24"/>
        </w:rPr>
        <w:t>requirement</w:t>
      </w:r>
      <w:r w:rsidR="00F737A1" w:rsidRPr="00E2407B">
        <w:rPr>
          <w:rFonts w:eastAsia="Arial" w:cs="Arial"/>
          <w:sz w:val="24"/>
          <w:szCs w:val="24"/>
        </w:rPr>
        <w:t xml:space="preserve"> </w:t>
      </w:r>
      <w:r w:rsidRPr="00E2407B">
        <w:rPr>
          <w:rFonts w:eastAsia="Arial" w:cs="Arial"/>
          <w:sz w:val="24"/>
          <w:szCs w:val="24"/>
        </w:rPr>
        <w:t xml:space="preserve">for further optimisation if </w:t>
      </w:r>
      <w:r w:rsidR="003850FE" w:rsidRPr="00E2407B">
        <w:rPr>
          <w:rFonts w:eastAsia="Arial" w:cs="Arial"/>
          <w:sz w:val="24"/>
          <w:szCs w:val="24"/>
        </w:rPr>
        <w:t>such formulations are</w:t>
      </w:r>
      <w:r w:rsidRPr="00E2407B">
        <w:rPr>
          <w:rFonts w:eastAsia="Arial" w:cs="Arial"/>
          <w:sz w:val="24"/>
          <w:szCs w:val="24"/>
        </w:rPr>
        <w:t xml:space="preserve"> to be used for other macromolecules [</w:t>
      </w:r>
      <w:hyperlink w:anchor="_1ksv4uv">
        <w:r w:rsidRPr="00E2407B">
          <w:rPr>
            <w:rFonts w:eastAsia="Arial" w:cs="Arial"/>
            <w:sz w:val="24"/>
            <w:szCs w:val="24"/>
          </w:rPr>
          <w:t>15</w:t>
        </w:r>
      </w:hyperlink>
      <w:r w:rsidRPr="00E2407B">
        <w:rPr>
          <w:rFonts w:eastAsia="Arial" w:cs="Arial"/>
          <w:sz w:val="24"/>
          <w:szCs w:val="24"/>
        </w:rPr>
        <w:t>].</w:t>
      </w:r>
    </w:p>
    <w:p w14:paraId="7E997546" w14:textId="77777777" w:rsidR="00720511" w:rsidRPr="00E2407B" w:rsidRDefault="00720511" w:rsidP="00E2407B">
      <w:pPr>
        <w:spacing w:after="0" w:line="360" w:lineRule="auto"/>
        <w:rPr>
          <w:rFonts w:eastAsia="Arial" w:cs="Arial"/>
          <w:sz w:val="24"/>
          <w:szCs w:val="24"/>
        </w:rPr>
      </w:pPr>
    </w:p>
    <w:p w14:paraId="6034E77A" w14:textId="3D1BABBE" w:rsidR="00720511" w:rsidRPr="00E2407B" w:rsidRDefault="0025681D" w:rsidP="00E2407B">
      <w:pPr>
        <w:spacing w:after="0" w:line="360" w:lineRule="auto"/>
        <w:rPr>
          <w:rFonts w:eastAsia="Arial" w:cs="Arial"/>
          <w:sz w:val="24"/>
          <w:szCs w:val="24"/>
        </w:rPr>
      </w:pPr>
      <w:bookmarkStart w:id="0" w:name="_Hlk504346349"/>
      <w:r>
        <w:rPr>
          <w:rFonts w:eastAsia="Arial" w:cs="Arial"/>
          <w:sz w:val="24"/>
          <w:szCs w:val="24"/>
        </w:rPr>
        <w:lastRenderedPageBreak/>
        <w:t>Excipients</w:t>
      </w:r>
      <w:r w:rsidR="004A72CC">
        <w:rPr>
          <w:rFonts w:eastAsia="Arial" w:cs="Arial"/>
          <w:sz w:val="24"/>
          <w:szCs w:val="24"/>
        </w:rPr>
        <w:t xml:space="preserve"> used in the preparation of LBFs for </w:t>
      </w:r>
      <w:r w:rsidR="00A35535">
        <w:rPr>
          <w:rFonts w:eastAsia="Arial" w:cs="Arial"/>
          <w:sz w:val="24"/>
          <w:szCs w:val="24"/>
        </w:rPr>
        <w:t>the</w:t>
      </w:r>
      <w:r w:rsidR="004A72CC">
        <w:rPr>
          <w:rFonts w:eastAsia="Arial" w:cs="Arial"/>
          <w:sz w:val="24"/>
          <w:szCs w:val="24"/>
        </w:rPr>
        <w:t xml:space="preserve"> delivery of poorly soluble drugs are </w:t>
      </w:r>
      <w:r w:rsidR="00A35535">
        <w:rPr>
          <w:rFonts w:eastAsia="Arial" w:cs="Arial"/>
          <w:sz w:val="24"/>
          <w:szCs w:val="24"/>
        </w:rPr>
        <w:t xml:space="preserve">also </w:t>
      </w:r>
      <w:r w:rsidR="004A72CC">
        <w:rPr>
          <w:rFonts w:eastAsia="Arial" w:cs="Arial"/>
          <w:sz w:val="24"/>
          <w:szCs w:val="24"/>
        </w:rPr>
        <w:t>a source of intestinal PEs that may have application in oral delivery of poorly absorbed macromolecules</w:t>
      </w:r>
      <w:r w:rsidR="004A72CC">
        <w:rPr>
          <w:rFonts w:eastAsia="Arial" w:cs="Arial"/>
        </w:rPr>
        <w:t xml:space="preserve">. </w:t>
      </w:r>
      <w:bookmarkEnd w:id="0"/>
      <w:r w:rsidR="00942B2B" w:rsidRPr="00E2407B">
        <w:rPr>
          <w:rFonts w:eastAsia="Arial Unicode MS" w:cs="Arial Unicode MS"/>
          <w:sz w:val="24"/>
          <w:szCs w:val="24"/>
        </w:rPr>
        <w:t xml:space="preserve">From the </w:t>
      </w:r>
      <w:r w:rsidR="00045300" w:rsidRPr="00E2407B">
        <w:rPr>
          <w:rFonts w:eastAsia="Arial Unicode MS" w:cs="Arial Unicode MS"/>
          <w:sz w:val="24"/>
          <w:szCs w:val="24"/>
        </w:rPr>
        <w:t>L</w:t>
      </w:r>
      <w:r w:rsidR="00045300">
        <w:rPr>
          <w:rFonts w:eastAsia="Arial Unicode MS" w:cs="Arial Unicode MS"/>
          <w:sz w:val="24"/>
          <w:szCs w:val="24"/>
        </w:rPr>
        <w:t xml:space="preserve">ipid Formulation </w:t>
      </w:r>
      <w:r w:rsidR="00F737A1">
        <w:rPr>
          <w:rFonts w:eastAsia="Arial Unicode MS" w:cs="Arial Unicode MS"/>
          <w:sz w:val="24"/>
          <w:szCs w:val="24"/>
        </w:rPr>
        <w:t>Classification System (LFCS) [16</w:t>
      </w:r>
      <w:r w:rsidR="00045300">
        <w:rPr>
          <w:rFonts w:eastAsia="Arial Unicode MS" w:cs="Arial Unicode MS"/>
          <w:sz w:val="24"/>
          <w:szCs w:val="24"/>
        </w:rPr>
        <w:t>]</w:t>
      </w:r>
      <w:r w:rsidR="00942B2B" w:rsidRPr="00E2407B">
        <w:rPr>
          <w:rFonts w:eastAsia="Arial Unicode MS" w:cs="Arial Unicode MS"/>
          <w:sz w:val="24"/>
          <w:szCs w:val="24"/>
        </w:rPr>
        <w:t xml:space="preserve">, Class III </w:t>
      </w:r>
      <w:r w:rsidR="00045300">
        <w:rPr>
          <w:rFonts w:eastAsia="Arial Unicode MS" w:cs="Arial Unicode MS"/>
          <w:sz w:val="24"/>
          <w:szCs w:val="24"/>
        </w:rPr>
        <w:t xml:space="preserve">formulations </w:t>
      </w:r>
      <w:r w:rsidR="00942B2B" w:rsidRPr="00E2407B">
        <w:rPr>
          <w:rFonts w:eastAsia="Arial Unicode MS" w:cs="Arial Unicode MS"/>
          <w:sz w:val="24"/>
          <w:szCs w:val="24"/>
        </w:rPr>
        <w:t xml:space="preserve">comprise </w:t>
      </w:r>
      <w:r w:rsidR="004553EA">
        <w:rPr>
          <w:rFonts w:eastAsia="Arial Unicode MS" w:cs="Arial Unicode MS"/>
          <w:sz w:val="24"/>
          <w:szCs w:val="24"/>
        </w:rPr>
        <w:t xml:space="preserve">oil (&lt;20%), </w:t>
      </w:r>
      <w:r w:rsidR="00942B2B" w:rsidRPr="00E2407B">
        <w:rPr>
          <w:rFonts w:eastAsia="Arial Unicode MS" w:cs="Arial Unicode MS"/>
          <w:sz w:val="24"/>
          <w:szCs w:val="24"/>
        </w:rPr>
        <w:t>hydrophilic solvent (≤50% w/w)</w:t>
      </w:r>
      <w:r w:rsidR="004553EA">
        <w:rPr>
          <w:rFonts w:eastAsia="Arial Unicode MS" w:cs="Arial Unicode MS"/>
          <w:sz w:val="24"/>
          <w:szCs w:val="24"/>
        </w:rPr>
        <w:t xml:space="preserve"> and</w:t>
      </w:r>
      <w:r w:rsidR="00942B2B" w:rsidRPr="00E2407B">
        <w:rPr>
          <w:rFonts w:eastAsia="Arial Unicode MS" w:cs="Arial Unicode MS"/>
          <w:sz w:val="24"/>
          <w:szCs w:val="24"/>
        </w:rPr>
        <w:t xml:space="preserve"> a</w:t>
      </w:r>
      <w:r w:rsidR="004553EA">
        <w:rPr>
          <w:rFonts w:eastAsia="Arial Unicode MS" w:cs="Arial Unicode MS"/>
          <w:sz w:val="24"/>
          <w:szCs w:val="24"/>
        </w:rPr>
        <w:t xml:space="preserve"> water soluble</w:t>
      </w:r>
      <w:r w:rsidR="00942B2B" w:rsidRPr="00E2407B">
        <w:rPr>
          <w:rFonts w:eastAsia="Arial Unicode MS" w:cs="Arial Unicode MS"/>
          <w:sz w:val="24"/>
          <w:szCs w:val="24"/>
        </w:rPr>
        <w:t xml:space="preserve"> surfactant</w:t>
      </w:r>
      <w:r w:rsidR="0065000C">
        <w:rPr>
          <w:rFonts w:eastAsia="Arial Unicode MS" w:cs="Arial Unicode MS"/>
          <w:sz w:val="24"/>
          <w:szCs w:val="24"/>
        </w:rPr>
        <w:t xml:space="preserve"> </w:t>
      </w:r>
      <w:r w:rsidR="004553EA">
        <w:rPr>
          <w:rFonts w:eastAsia="Arial Unicode MS" w:cs="Arial Unicode MS"/>
          <w:sz w:val="24"/>
          <w:szCs w:val="24"/>
        </w:rPr>
        <w:t>(</w:t>
      </w:r>
      <w:r w:rsidR="00942B2B" w:rsidRPr="00E2407B">
        <w:rPr>
          <w:rFonts w:eastAsia="Arial Unicode MS" w:cs="Arial Unicode MS"/>
          <w:sz w:val="24"/>
          <w:szCs w:val="24"/>
        </w:rPr>
        <w:t>Hydrophilic: Lipophilic Balance (HLB)</w:t>
      </w:r>
      <w:r w:rsidR="00942B2B" w:rsidRPr="00584BC9">
        <w:rPr>
          <w:rFonts w:eastAsia="Arial" w:cs="Arial"/>
          <w:sz w:val="24"/>
          <w:szCs w:val="24"/>
        </w:rPr>
        <w:t>&gt;12</w:t>
      </w:r>
      <w:r w:rsidR="004553EA">
        <w:rPr>
          <w:rFonts w:eastAsia="Arial" w:cs="Arial"/>
          <w:sz w:val="24"/>
          <w:szCs w:val="24"/>
        </w:rPr>
        <w:t>)</w:t>
      </w:r>
      <w:r w:rsidR="005C539D">
        <w:rPr>
          <w:rFonts w:eastAsia="Arial" w:cs="Arial"/>
          <w:sz w:val="24"/>
          <w:szCs w:val="24"/>
        </w:rPr>
        <w:t xml:space="preserve"> </w:t>
      </w:r>
      <w:r w:rsidR="0065000C">
        <w:rPr>
          <w:rFonts w:eastAsia="Arial" w:cs="Arial"/>
          <w:sz w:val="24"/>
          <w:szCs w:val="24"/>
        </w:rPr>
        <w:t>(</w:t>
      </w:r>
      <w:r w:rsidR="00942B2B" w:rsidRPr="00E2407B">
        <w:rPr>
          <w:rFonts w:eastAsia="Arial" w:cs="Arial"/>
          <w:sz w:val="24"/>
          <w:szCs w:val="24"/>
        </w:rPr>
        <w:t>20-50%</w:t>
      </w:r>
      <w:r w:rsidR="0065000C">
        <w:rPr>
          <w:rFonts w:eastAsia="Arial" w:cs="Arial"/>
          <w:sz w:val="24"/>
          <w:szCs w:val="24"/>
        </w:rPr>
        <w:t>)</w:t>
      </w:r>
      <w:r w:rsidR="00942B2B" w:rsidRPr="00E2407B">
        <w:rPr>
          <w:rFonts w:eastAsia="Arial" w:cs="Arial"/>
          <w:sz w:val="24"/>
          <w:szCs w:val="24"/>
        </w:rPr>
        <w:t xml:space="preserve">. An </w:t>
      </w:r>
      <w:r w:rsidR="007C115C">
        <w:rPr>
          <w:rFonts w:eastAsia="Arial" w:cs="Arial"/>
          <w:sz w:val="24"/>
          <w:szCs w:val="24"/>
        </w:rPr>
        <w:t xml:space="preserve">example of a </w:t>
      </w:r>
      <w:r w:rsidR="00942B2B" w:rsidRPr="00E2407B">
        <w:rPr>
          <w:rFonts w:eastAsia="Arial" w:cs="Arial"/>
          <w:sz w:val="24"/>
          <w:szCs w:val="24"/>
        </w:rPr>
        <w:t xml:space="preserve">LFCS </w:t>
      </w:r>
      <w:r w:rsidR="004553EA">
        <w:rPr>
          <w:rFonts w:eastAsia="Arial" w:cs="Arial"/>
          <w:sz w:val="24"/>
          <w:szCs w:val="24"/>
        </w:rPr>
        <w:t xml:space="preserve"> </w:t>
      </w:r>
      <w:r w:rsidR="00942B2B" w:rsidRPr="00E2407B">
        <w:rPr>
          <w:rFonts w:eastAsia="Arial" w:cs="Arial"/>
          <w:sz w:val="24"/>
          <w:szCs w:val="24"/>
        </w:rPr>
        <w:t>from Class III is Labrasol® (Gattefosse, France), a definedmixture of C</w:t>
      </w:r>
      <w:r w:rsidR="00942B2B" w:rsidRPr="00E2407B">
        <w:rPr>
          <w:rFonts w:eastAsia="Arial" w:cs="Arial"/>
          <w:sz w:val="24"/>
          <w:szCs w:val="24"/>
          <w:vertAlign w:val="subscript"/>
        </w:rPr>
        <w:t>8</w:t>
      </w:r>
      <w:r w:rsidR="00942B2B" w:rsidRPr="00E2407B">
        <w:rPr>
          <w:rFonts w:eastAsia="Arial" w:cs="Arial"/>
          <w:sz w:val="24"/>
          <w:szCs w:val="24"/>
        </w:rPr>
        <w:t xml:space="preserve"> and C</w:t>
      </w:r>
      <w:r w:rsidR="00942B2B" w:rsidRPr="00E2407B">
        <w:rPr>
          <w:rFonts w:eastAsia="Arial" w:cs="Arial"/>
          <w:sz w:val="24"/>
          <w:szCs w:val="24"/>
          <w:vertAlign w:val="subscript"/>
        </w:rPr>
        <w:t>10</w:t>
      </w:r>
      <w:r w:rsidR="00942B2B" w:rsidRPr="00E2407B">
        <w:rPr>
          <w:rFonts w:eastAsia="Arial" w:cs="Arial"/>
          <w:sz w:val="24"/>
          <w:szCs w:val="24"/>
        </w:rPr>
        <w:t xml:space="preserve"> macrogol-8 glycerides (mono- and di- esters) (90%) and medium chain glyceride esters (mono-, di- and tri- esters of C</w:t>
      </w:r>
      <w:r w:rsidR="00942B2B" w:rsidRPr="00E2407B">
        <w:rPr>
          <w:rFonts w:eastAsia="Arial" w:cs="Arial"/>
          <w:sz w:val="24"/>
          <w:szCs w:val="24"/>
          <w:vertAlign w:val="subscript"/>
        </w:rPr>
        <w:t>8</w:t>
      </w:r>
      <w:r w:rsidR="00942B2B" w:rsidRPr="00E2407B">
        <w:rPr>
          <w:rFonts w:eastAsia="Arial" w:cs="Arial"/>
          <w:sz w:val="24"/>
          <w:szCs w:val="24"/>
        </w:rPr>
        <w:t xml:space="preserve"> and C</w:t>
      </w:r>
      <w:r w:rsidR="00942B2B" w:rsidRPr="00E2407B">
        <w:rPr>
          <w:rFonts w:eastAsia="Arial" w:cs="Arial"/>
          <w:sz w:val="24"/>
          <w:szCs w:val="24"/>
          <w:vertAlign w:val="subscript"/>
        </w:rPr>
        <w:t>10</w:t>
      </w:r>
      <w:r w:rsidR="00942B2B" w:rsidRPr="00E2407B">
        <w:rPr>
          <w:rFonts w:eastAsia="Arial" w:cs="Arial"/>
          <w:sz w:val="24"/>
          <w:szCs w:val="24"/>
        </w:rPr>
        <w:t>) (10%) [1</w:t>
      </w:r>
      <w:r w:rsidR="00ED211B">
        <w:rPr>
          <w:rFonts w:eastAsia="Arial" w:cs="Arial"/>
          <w:sz w:val="24"/>
          <w:szCs w:val="24"/>
        </w:rPr>
        <w:t>7,</w:t>
      </w:r>
      <w:r w:rsidR="005C539D">
        <w:rPr>
          <w:rFonts w:eastAsia="Arial" w:cs="Arial"/>
          <w:sz w:val="24"/>
          <w:szCs w:val="24"/>
        </w:rPr>
        <w:t xml:space="preserve"> </w:t>
      </w:r>
      <w:r w:rsidR="00ED211B">
        <w:rPr>
          <w:rFonts w:eastAsia="Arial" w:cs="Arial"/>
          <w:sz w:val="24"/>
          <w:szCs w:val="24"/>
        </w:rPr>
        <w:t>18</w:t>
      </w:r>
      <w:r w:rsidR="00942B2B" w:rsidRPr="00E2407B">
        <w:rPr>
          <w:rFonts w:eastAsia="Arial" w:cs="Arial"/>
          <w:sz w:val="24"/>
          <w:szCs w:val="24"/>
        </w:rPr>
        <w:t>]. Labrasol® is a component of an approved oral formulation of the hydrophobic molecule, enzalutamide (Xtandi®, Astellas Pharma, USA), to treat metastatic prostate cancer [</w:t>
      </w:r>
      <w:r w:rsidR="00ED211B">
        <w:rPr>
          <w:rFonts w:eastAsia="Arial" w:cs="Arial"/>
          <w:sz w:val="24"/>
          <w:szCs w:val="24"/>
        </w:rPr>
        <w:t>19</w:t>
      </w:r>
      <w:r w:rsidR="00942B2B" w:rsidRPr="00E2407B">
        <w:rPr>
          <w:rFonts w:eastAsia="Arial" w:cs="Arial"/>
          <w:sz w:val="24"/>
          <w:szCs w:val="24"/>
        </w:rPr>
        <w:t>]. Several studies also report the capacity of Labrasol® to improve absorption of insulin [</w:t>
      </w:r>
      <w:r w:rsidR="003F021F">
        <w:rPr>
          <w:rFonts w:eastAsia="Arial" w:cs="Arial"/>
          <w:sz w:val="24"/>
          <w:szCs w:val="24"/>
        </w:rPr>
        <w:t>2</w:t>
      </w:r>
      <w:hyperlink w:anchor="_3j2qqm3">
        <w:r w:rsidR="00ED211B">
          <w:rPr>
            <w:rFonts w:eastAsia="Arial" w:cs="Arial"/>
            <w:sz w:val="24"/>
            <w:szCs w:val="24"/>
          </w:rPr>
          <w:t>0</w:t>
        </w:r>
      </w:hyperlink>
      <w:r w:rsidR="00942B2B" w:rsidRPr="00E2407B">
        <w:rPr>
          <w:rFonts w:eastAsia="Arial" w:cs="Arial"/>
          <w:sz w:val="24"/>
          <w:szCs w:val="24"/>
        </w:rPr>
        <w:t>], erythropoietin [</w:t>
      </w:r>
      <w:r w:rsidR="003F021F">
        <w:rPr>
          <w:rFonts w:eastAsia="Arial" w:cs="Arial"/>
          <w:sz w:val="24"/>
          <w:szCs w:val="24"/>
        </w:rPr>
        <w:t>2</w:t>
      </w:r>
      <w:hyperlink w:anchor="_1y810tw">
        <w:r w:rsidR="00ED211B">
          <w:rPr>
            <w:rFonts w:eastAsia="Arial" w:cs="Arial"/>
            <w:sz w:val="24"/>
            <w:szCs w:val="24"/>
          </w:rPr>
          <w:t>1</w:t>
        </w:r>
      </w:hyperlink>
      <w:r w:rsidR="00942B2B" w:rsidRPr="00E2407B">
        <w:rPr>
          <w:rFonts w:eastAsia="Arial" w:cs="Arial"/>
          <w:sz w:val="24"/>
          <w:szCs w:val="24"/>
        </w:rPr>
        <w:t>], and macromolecules (e.g. fluorescein isothiocyanate (FITC) dextran 4kDa (FD4)) [</w:t>
      </w:r>
      <w:r w:rsidR="003F021F">
        <w:rPr>
          <w:rFonts w:eastAsia="Arial" w:cs="Arial"/>
          <w:sz w:val="24"/>
          <w:szCs w:val="24"/>
        </w:rPr>
        <w:t>2</w:t>
      </w:r>
      <w:hyperlink w:anchor="_4i7ojhp">
        <w:r w:rsidR="00ED211B">
          <w:rPr>
            <w:rFonts w:eastAsia="Arial" w:cs="Arial"/>
            <w:sz w:val="24"/>
            <w:szCs w:val="24"/>
          </w:rPr>
          <w:t>2</w:t>
        </w:r>
      </w:hyperlink>
      <w:r w:rsidR="00942B2B" w:rsidRPr="00E2407B">
        <w:rPr>
          <w:rFonts w:eastAsia="Arial" w:cs="Arial"/>
          <w:sz w:val="24"/>
          <w:szCs w:val="24"/>
        </w:rPr>
        <w:t>] by inducing an increasing intestinal permeability. Yet, it is not apparent from the literature as to whether commercial LBFs improve intestinal permeability of macromolecules with the same efficacy as established intestinal PEs, including the medium chain fatty acid, sodium caprate (C</w:t>
      </w:r>
      <w:r w:rsidR="00942B2B" w:rsidRPr="00E2407B">
        <w:rPr>
          <w:rFonts w:eastAsia="Arial" w:cs="Arial"/>
          <w:sz w:val="24"/>
          <w:szCs w:val="24"/>
          <w:vertAlign w:val="subscript"/>
        </w:rPr>
        <w:t>10</w:t>
      </w:r>
      <w:r w:rsidR="00942B2B" w:rsidRPr="00E2407B">
        <w:rPr>
          <w:rFonts w:eastAsia="Arial" w:cs="Arial"/>
          <w:sz w:val="24"/>
          <w:szCs w:val="24"/>
        </w:rPr>
        <w:t>), a component of the GIPET</w:t>
      </w:r>
      <w:r w:rsidR="00942B2B" w:rsidRPr="00E2407B">
        <w:rPr>
          <w:rFonts w:eastAsia="Calibri" w:cs="Calibri"/>
          <w:sz w:val="24"/>
          <w:szCs w:val="24"/>
        </w:rPr>
        <w:t>™</w:t>
      </w:r>
      <w:r w:rsidR="00942B2B" w:rsidRPr="00E2407B">
        <w:rPr>
          <w:rFonts w:eastAsia="Arial" w:cs="Arial"/>
          <w:sz w:val="24"/>
          <w:szCs w:val="24"/>
        </w:rPr>
        <w:t xml:space="preserve"> formulation of Merrion Pharmaceuticals (Ireland) that reached Phase II for oral delivery of insulin [</w:t>
      </w:r>
      <w:r w:rsidR="00942B2B" w:rsidRPr="00033581">
        <w:rPr>
          <w:rFonts w:eastAsia="Arial" w:cs="Arial"/>
          <w:sz w:val="24"/>
          <w:szCs w:val="24"/>
        </w:rPr>
        <w:t>2</w:t>
      </w:r>
      <w:r w:rsidR="00ED211B" w:rsidRPr="00033581">
        <w:rPr>
          <w:rFonts w:eastAsia="Arial" w:cs="Arial"/>
          <w:sz w:val="24"/>
          <w:szCs w:val="24"/>
        </w:rPr>
        <w:t>3</w:t>
      </w:r>
      <w:r w:rsidR="00942B2B" w:rsidRPr="00E2407B">
        <w:rPr>
          <w:rFonts w:eastAsia="Arial" w:cs="Arial"/>
          <w:sz w:val="24"/>
          <w:szCs w:val="24"/>
        </w:rPr>
        <w:t>], and SNAC (Sodium N-[8-(2-hydroxybenzoyl) Amino] Caprylate), a PE in Phase III trials for oral semaglutide [</w:t>
      </w:r>
      <w:r w:rsidR="00942B2B" w:rsidRPr="00033581">
        <w:rPr>
          <w:rFonts w:eastAsia="Arial" w:cs="Arial"/>
          <w:sz w:val="24"/>
          <w:szCs w:val="24"/>
        </w:rPr>
        <w:t>2</w:t>
      </w:r>
      <w:r w:rsidR="00ED211B" w:rsidRPr="00033581">
        <w:rPr>
          <w:rFonts w:eastAsia="Arial" w:cs="Arial"/>
          <w:sz w:val="24"/>
          <w:szCs w:val="24"/>
        </w:rPr>
        <w:t>4</w:t>
      </w:r>
      <w:r w:rsidR="00942B2B" w:rsidRPr="00E2407B">
        <w:rPr>
          <w:rFonts w:eastAsia="Arial" w:cs="Arial"/>
          <w:sz w:val="24"/>
          <w:szCs w:val="24"/>
        </w:rPr>
        <w:t>]. Nevertheless, Labrasol® has some potential advantages over such PEs including presentation in a liquid emulsion vehicle to permit co-presentation of the peptide in a stable hydrophobic milieu or as a hydrophobic ion-pair [</w:t>
      </w:r>
      <w:hyperlink w:anchor="_2jxsxqh">
        <w:r w:rsidR="00942B2B" w:rsidRPr="00E2407B">
          <w:rPr>
            <w:rFonts w:eastAsia="Arial" w:cs="Arial"/>
            <w:sz w:val="24"/>
            <w:szCs w:val="24"/>
          </w:rPr>
          <w:t>17</w:t>
        </w:r>
      </w:hyperlink>
      <w:r w:rsidR="00942B2B" w:rsidRPr="00E2407B">
        <w:rPr>
          <w:rFonts w:eastAsia="Arial" w:cs="Arial"/>
          <w:sz w:val="24"/>
          <w:szCs w:val="24"/>
        </w:rPr>
        <w:t>].</w:t>
      </w:r>
    </w:p>
    <w:p w14:paraId="68A126A2" w14:textId="77777777" w:rsidR="00720511" w:rsidRPr="00E2407B" w:rsidRDefault="00720511" w:rsidP="00E2407B">
      <w:pPr>
        <w:spacing w:after="300" w:line="360" w:lineRule="auto"/>
        <w:rPr>
          <w:rFonts w:eastAsia="Arial" w:cs="Arial"/>
          <w:sz w:val="24"/>
          <w:szCs w:val="24"/>
          <w:highlight w:val="yellow"/>
        </w:rPr>
      </w:pPr>
    </w:p>
    <w:p w14:paraId="09540399" w14:textId="2837A7C9" w:rsidR="00720511" w:rsidRPr="00E2407B" w:rsidRDefault="00942B2B" w:rsidP="00E2407B">
      <w:pPr>
        <w:spacing w:after="300" w:line="360" w:lineRule="auto"/>
        <w:rPr>
          <w:rFonts w:eastAsia="Arial" w:cs="Arial"/>
          <w:sz w:val="24"/>
          <w:szCs w:val="24"/>
        </w:rPr>
      </w:pPr>
      <w:r w:rsidRPr="00E2407B">
        <w:rPr>
          <w:rFonts w:eastAsia="Arial" w:cs="Arial"/>
          <w:sz w:val="24"/>
          <w:szCs w:val="24"/>
        </w:rPr>
        <w:t xml:space="preserve">We found previously that blending polyethylene glycol (PEG) solvents with surfactant-based PEs can increase </w:t>
      </w:r>
      <w:r w:rsidRPr="00E2407B">
        <w:rPr>
          <w:rFonts w:eastAsia="Arial" w:cs="Arial"/>
          <w:i/>
          <w:sz w:val="24"/>
          <w:szCs w:val="24"/>
        </w:rPr>
        <w:t>in vitro</w:t>
      </w:r>
      <w:r w:rsidRPr="00E2407B">
        <w:rPr>
          <w:rFonts w:eastAsia="Arial" w:cs="Arial"/>
          <w:sz w:val="24"/>
          <w:szCs w:val="24"/>
        </w:rPr>
        <w:t xml:space="preserve"> intestinal epithelial permeability [</w:t>
      </w:r>
      <w:r w:rsidR="00EB62B9" w:rsidRPr="00033581">
        <w:rPr>
          <w:rFonts w:eastAsia="Arial" w:cs="Arial"/>
          <w:sz w:val="24"/>
          <w:szCs w:val="24"/>
        </w:rPr>
        <w:t>2</w:t>
      </w:r>
      <w:hyperlink w:anchor="_1ci93xb">
        <w:r w:rsidR="00ED211B" w:rsidRPr="004D4894">
          <w:rPr>
            <w:rFonts w:eastAsia="Arial" w:cs="Arial"/>
            <w:sz w:val="24"/>
            <w:szCs w:val="24"/>
          </w:rPr>
          <w:t>5</w:t>
        </w:r>
      </w:hyperlink>
      <w:r w:rsidRPr="00E2407B">
        <w:rPr>
          <w:rFonts w:eastAsia="Arial" w:cs="Arial"/>
          <w:sz w:val="24"/>
          <w:szCs w:val="24"/>
        </w:rPr>
        <w:t xml:space="preserve">], so this stimulated interest in further examining combinations of MCFAs with PEGylated lipid systems. Others have shown that binary mixtures of lipids with bile salt surfactants have </w:t>
      </w:r>
      <w:r w:rsidR="00435872">
        <w:rPr>
          <w:rFonts w:eastAsia="Arial" w:cs="Arial"/>
          <w:sz w:val="24"/>
          <w:szCs w:val="24"/>
        </w:rPr>
        <w:t>an increased</w:t>
      </w:r>
      <w:r w:rsidRPr="00E2407B">
        <w:rPr>
          <w:rFonts w:eastAsia="Arial" w:cs="Arial"/>
          <w:sz w:val="24"/>
          <w:szCs w:val="24"/>
        </w:rPr>
        <w:t xml:space="preserve"> separation between safety and enhancement action</w:t>
      </w:r>
      <w:r w:rsidR="00435872">
        <w:rPr>
          <w:rFonts w:eastAsia="Arial" w:cs="Arial"/>
          <w:sz w:val="24"/>
          <w:szCs w:val="24"/>
        </w:rPr>
        <w:t>s</w:t>
      </w:r>
      <w:r w:rsidRPr="00E2407B">
        <w:rPr>
          <w:rFonts w:eastAsia="Arial" w:cs="Arial"/>
          <w:sz w:val="24"/>
          <w:szCs w:val="24"/>
        </w:rPr>
        <w:t xml:space="preserve"> than individual components </w:t>
      </w:r>
      <w:r w:rsidRPr="00E2407B">
        <w:rPr>
          <w:rFonts w:eastAsia="Arial" w:cs="Arial"/>
          <w:color w:val="131413"/>
          <w:sz w:val="24"/>
          <w:szCs w:val="24"/>
        </w:rPr>
        <w:t>[</w:t>
      </w:r>
      <w:r w:rsidR="00EB62B9" w:rsidRPr="00033581">
        <w:rPr>
          <w:rFonts w:eastAsia="Arial" w:cs="Arial"/>
          <w:color w:val="131413"/>
          <w:sz w:val="24"/>
          <w:szCs w:val="24"/>
        </w:rPr>
        <w:t>2</w:t>
      </w:r>
      <w:hyperlink w:anchor="_3whwml4">
        <w:r w:rsidR="00ED211B" w:rsidRPr="004D4894">
          <w:rPr>
            <w:rFonts w:eastAsia="Arial" w:cs="Arial"/>
            <w:color w:val="131413"/>
            <w:sz w:val="24"/>
            <w:szCs w:val="24"/>
          </w:rPr>
          <w:t>6</w:t>
        </w:r>
      </w:hyperlink>
      <w:r w:rsidRPr="00E2407B">
        <w:rPr>
          <w:rFonts w:eastAsia="Arial" w:cs="Arial"/>
          <w:color w:val="131413"/>
          <w:sz w:val="24"/>
          <w:szCs w:val="24"/>
        </w:rPr>
        <w:t xml:space="preserve">]. </w:t>
      </w:r>
      <w:r w:rsidR="00BB6613">
        <w:rPr>
          <w:rFonts w:eastAsia="Arial" w:cs="Arial"/>
          <w:color w:val="131413"/>
          <w:sz w:val="24"/>
          <w:szCs w:val="24"/>
        </w:rPr>
        <w:t xml:space="preserve">In the current study, we used permeability assessment of FD4 across isolated rat intestinal mucosae as a screening tool, </w:t>
      </w:r>
      <w:bookmarkStart w:id="1" w:name="_Hlk504342839"/>
      <w:r w:rsidR="00BB6613">
        <w:rPr>
          <w:rFonts w:eastAsia="Arial" w:cs="Arial"/>
          <w:color w:val="131413"/>
          <w:sz w:val="24"/>
          <w:szCs w:val="24"/>
        </w:rPr>
        <w:t xml:space="preserve">since </w:t>
      </w:r>
      <w:r w:rsidR="004F0B72">
        <w:rPr>
          <w:rFonts w:eastAsia="Arial" w:cs="Arial"/>
          <w:color w:val="131413"/>
          <w:sz w:val="24"/>
          <w:szCs w:val="24"/>
        </w:rPr>
        <w:t>this hydrophilic macromolecule</w:t>
      </w:r>
      <w:r w:rsidR="00BB6613">
        <w:rPr>
          <w:rFonts w:eastAsia="Arial" w:cs="Arial"/>
          <w:color w:val="131413"/>
          <w:sz w:val="24"/>
          <w:szCs w:val="24"/>
        </w:rPr>
        <w:t xml:space="preserve"> is poorly permeable </w:t>
      </w:r>
      <w:r w:rsidR="000901E2">
        <w:rPr>
          <w:rFonts w:eastAsia="Arial" w:cs="Arial"/>
          <w:color w:val="131413"/>
          <w:sz w:val="24"/>
          <w:szCs w:val="24"/>
        </w:rPr>
        <w:t>across both rat and human</w:t>
      </w:r>
      <w:r w:rsidR="005E6E2B">
        <w:rPr>
          <w:rFonts w:eastAsia="Arial" w:cs="Arial"/>
          <w:color w:val="131413"/>
          <w:sz w:val="24"/>
          <w:szCs w:val="24"/>
        </w:rPr>
        <w:t xml:space="preserve"> intestinal tissue mucosae [</w:t>
      </w:r>
      <w:r w:rsidR="005E6E2B" w:rsidRPr="00033581">
        <w:rPr>
          <w:rFonts w:eastAsia="Arial" w:cs="Arial"/>
          <w:color w:val="131413"/>
          <w:sz w:val="24"/>
          <w:szCs w:val="24"/>
        </w:rPr>
        <w:t>27</w:t>
      </w:r>
      <w:r w:rsidR="000901E2">
        <w:rPr>
          <w:rFonts w:eastAsia="Arial" w:cs="Arial"/>
          <w:color w:val="131413"/>
          <w:sz w:val="24"/>
          <w:szCs w:val="24"/>
        </w:rPr>
        <w:t xml:space="preserve">], </w:t>
      </w:r>
      <w:r w:rsidR="00BB6613">
        <w:rPr>
          <w:rFonts w:eastAsia="Arial" w:cs="Arial"/>
          <w:color w:val="131413"/>
          <w:sz w:val="24"/>
          <w:szCs w:val="24"/>
        </w:rPr>
        <w:t xml:space="preserve">and </w:t>
      </w:r>
      <w:r w:rsidR="004F0B72">
        <w:rPr>
          <w:rFonts w:eastAsia="Arial" w:cs="Arial"/>
          <w:color w:val="131413"/>
          <w:sz w:val="24"/>
          <w:szCs w:val="24"/>
        </w:rPr>
        <w:t xml:space="preserve">has </w:t>
      </w:r>
      <w:r w:rsidR="00BB6613">
        <w:rPr>
          <w:rFonts w:eastAsia="Arial" w:cs="Arial"/>
          <w:color w:val="131413"/>
          <w:sz w:val="24"/>
          <w:szCs w:val="24"/>
        </w:rPr>
        <w:t xml:space="preserve">a molecular weight </w:t>
      </w:r>
      <w:r w:rsidR="004F0B72">
        <w:rPr>
          <w:rFonts w:eastAsia="Arial" w:cs="Arial"/>
          <w:color w:val="131413"/>
          <w:sz w:val="24"/>
          <w:szCs w:val="24"/>
        </w:rPr>
        <w:t xml:space="preserve">comparable to </w:t>
      </w:r>
      <w:r w:rsidR="005C539D">
        <w:rPr>
          <w:rFonts w:eastAsia="Arial" w:cs="Arial"/>
          <w:color w:val="131413"/>
          <w:sz w:val="24"/>
          <w:szCs w:val="24"/>
        </w:rPr>
        <w:t xml:space="preserve">many </w:t>
      </w:r>
      <w:r w:rsidR="00BB6613">
        <w:rPr>
          <w:rFonts w:eastAsia="Arial" w:cs="Arial"/>
          <w:color w:val="131413"/>
          <w:sz w:val="24"/>
          <w:szCs w:val="24"/>
        </w:rPr>
        <w:t xml:space="preserve">peptides emerging from </w:t>
      </w:r>
      <w:r w:rsidR="004F0B72">
        <w:rPr>
          <w:rFonts w:eastAsia="Arial" w:cs="Arial"/>
          <w:color w:val="131413"/>
          <w:sz w:val="24"/>
          <w:szCs w:val="24"/>
        </w:rPr>
        <w:t>d</w:t>
      </w:r>
      <w:r w:rsidR="00BB6613">
        <w:rPr>
          <w:rFonts w:eastAsia="Arial" w:cs="Arial"/>
          <w:color w:val="131413"/>
          <w:sz w:val="24"/>
          <w:szCs w:val="24"/>
        </w:rPr>
        <w:t xml:space="preserve">iscovery programmes.  </w:t>
      </w:r>
      <w:r w:rsidR="004F0B72">
        <w:rPr>
          <w:rFonts w:eastAsia="Arial" w:cs="Arial"/>
          <w:color w:val="131413"/>
          <w:sz w:val="24"/>
          <w:szCs w:val="24"/>
        </w:rPr>
        <w:t xml:space="preserve">As FD4 is </w:t>
      </w:r>
      <w:r w:rsidR="003830D4">
        <w:rPr>
          <w:rFonts w:eastAsia="Arial" w:cs="Arial"/>
          <w:color w:val="131413"/>
          <w:sz w:val="24"/>
          <w:szCs w:val="24"/>
        </w:rPr>
        <w:t>a</w:t>
      </w:r>
      <w:r w:rsidR="00BB6613">
        <w:rPr>
          <w:rFonts w:eastAsia="Arial" w:cs="Arial"/>
          <w:color w:val="131413"/>
          <w:sz w:val="24"/>
          <w:szCs w:val="24"/>
        </w:rPr>
        <w:t xml:space="preserve"> metabolically stable</w:t>
      </w:r>
      <w:r w:rsidR="004F0B72">
        <w:rPr>
          <w:rFonts w:eastAsia="Arial" w:cs="Arial"/>
          <w:color w:val="131413"/>
          <w:sz w:val="24"/>
          <w:szCs w:val="24"/>
        </w:rPr>
        <w:t xml:space="preserve"> molecule</w:t>
      </w:r>
      <w:r w:rsidR="00BB6613">
        <w:rPr>
          <w:rFonts w:eastAsia="Arial" w:cs="Arial"/>
          <w:color w:val="131413"/>
          <w:sz w:val="24"/>
          <w:szCs w:val="24"/>
        </w:rPr>
        <w:t>, th</w:t>
      </w:r>
      <w:r w:rsidR="004F0B72">
        <w:rPr>
          <w:rFonts w:eastAsia="Arial" w:cs="Arial"/>
          <w:color w:val="131413"/>
          <w:sz w:val="24"/>
          <w:szCs w:val="24"/>
        </w:rPr>
        <w:t>is study was able to</w:t>
      </w:r>
      <w:r w:rsidR="005C539D">
        <w:rPr>
          <w:rFonts w:eastAsia="Arial" w:cs="Arial"/>
          <w:color w:val="131413"/>
          <w:sz w:val="24"/>
          <w:szCs w:val="24"/>
        </w:rPr>
        <w:t xml:space="preserve"> focus </w:t>
      </w:r>
      <w:r w:rsidR="00BB6613">
        <w:rPr>
          <w:rFonts w:eastAsia="Arial" w:cs="Arial"/>
          <w:color w:val="131413"/>
          <w:sz w:val="24"/>
          <w:szCs w:val="24"/>
        </w:rPr>
        <w:t>entirely on</w:t>
      </w:r>
      <w:r w:rsidR="003830D4">
        <w:rPr>
          <w:rFonts w:eastAsia="Arial" w:cs="Arial"/>
          <w:color w:val="131413"/>
          <w:sz w:val="24"/>
          <w:szCs w:val="24"/>
        </w:rPr>
        <w:t xml:space="preserve"> optimisation of intestinal</w:t>
      </w:r>
      <w:r w:rsidR="00BB6613">
        <w:rPr>
          <w:rFonts w:eastAsia="Arial" w:cs="Arial"/>
          <w:color w:val="131413"/>
          <w:sz w:val="24"/>
          <w:szCs w:val="24"/>
        </w:rPr>
        <w:t xml:space="preserve"> permeability</w:t>
      </w:r>
      <w:bookmarkEnd w:id="1"/>
      <w:r w:rsidR="00BB6613">
        <w:rPr>
          <w:rFonts w:eastAsia="Arial" w:cs="Arial"/>
          <w:color w:val="131413"/>
          <w:sz w:val="24"/>
          <w:szCs w:val="24"/>
        </w:rPr>
        <w:t xml:space="preserve">. </w:t>
      </w:r>
      <w:r w:rsidRPr="00E2407B">
        <w:rPr>
          <w:rFonts w:eastAsia="Arial" w:cs="Arial"/>
          <w:color w:val="131413"/>
          <w:sz w:val="24"/>
          <w:szCs w:val="24"/>
        </w:rPr>
        <w:t xml:space="preserve">Our hypothesis therefore was that </w:t>
      </w:r>
      <w:r w:rsidR="00486CB0">
        <w:rPr>
          <w:rFonts w:eastAsia="Arial" w:cs="Arial"/>
          <w:color w:val="131413"/>
          <w:sz w:val="24"/>
          <w:szCs w:val="24"/>
        </w:rPr>
        <w:t xml:space="preserve">a </w:t>
      </w:r>
      <w:r w:rsidRPr="00E2407B">
        <w:rPr>
          <w:rFonts w:eastAsia="Arial" w:cs="Arial"/>
          <w:color w:val="131413"/>
          <w:sz w:val="24"/>
          <w:szCs w:val="24"/>
        </w:rPr>
        <w:t>low</w:t>
      </w:r>
      <w:r w:rsidR="00486CB0">
        <w:rPr>
          <w:rFonts w:eastAsia="Arial" w:cs="Arial"/>
          <w:color w:val="131413"/>
          <w:sz w:val="24"/>
          <w:szCs w:val="24"/>
        </w:rPr>
        <w:t>, sub-effective</w:t>
      </w:r>
      <w:r w:rsidR="000901E2">
        <w:rPr>
          <w:rFonts w:eastAsia="Arial" w:cs="Arial"/>
          <w:color w:val="131413"/>
          <w:sz w:val="24"/>
          <w:szCs w:val="24"/>
        </w:rPr>
        <w:t xml:space="preserve"> threshold</w:t>
      </w:r>
      <w:r w:rsidRPr="00E2407B">
        <w:rPr>
          <w:rFonts w:eastAsia="Arial" w:cs="Arial"/>
          <w:color w:val="131413"/>
          <w:sz w:val="24"/>
          <w:szCs w:val="24"/>
        </w:rPr>
        <w:t xml:space="preserve"> concentration of</w:t>
      </w:r>
      <w:r w:rsidR="00486CB0">
        <w:rPr>
          <w:rFonts w:eastAsia="Arial" w:cs="Arial"/>
          <w:color w:val="131413"/>
          <w:sz w:val="24"/>
          <w:szCs w:val="24"/>
        </w:rPr>
        <w:t xml:space="preserve"> Labrasol</w:t>
      </w:r>
      <w:r w:rsidR="00486CB0" w:rsidRPr="00E2407B">
        <w:rPr>
          <w:rFonts w:eastAsia="Arial" w:cs="Arial"/>
          <w:sz w:val="24"/>
          <w:szCs w:val="24"/>
        </w:rPr>
        <w:t>®</w:t>
      </w:r>
      <w:r w:rsidRPr="00E2407B">
        <w:rPr>
          <w:rFonts w:eastAsia="Arial" w:cs="Arial"/>
          <w:color w:val="131413"/>
          <w:sz w:val="24"/>
          <w:szCs w:val="24"/>
        </w:rPr>
        <w:t xml:space="preserve"> </w:t>
      </w:r>
      <w:r w:rsidR="000901E2">
        <w:rPr>
          <w:rFonts w:eastAsia="Arial" w:cs="Arial"/>
          <w:color w:val="131413"/>
          <w:sz w:val="24"/>
          <w:szCs w:val="24"/>
        </w:rPr>
        <w:t>might</w:t>
      </w:r>
      <w:r w:rsidR="000901E2" w:rsidRPr="00E2407B">
        <w:rPr>
          <w:rFonts w:eastAsia="Arial" w:cs="Arial"/>
          <w:color w:val="131413"/>
          <w:sz w:val="24"/>
          <w:szCs w:val="24"/>
        </w:rPr>
        <w:t xml:space="preserve"> </w:t>
      </w:r>
      <w:r w:rsidRPr="00E2407B">
        <w:rPr>
          <w:rFonts w:eastAsia="Arial" w:cs="Arial"/>
          <w:color w:val="131413"/>
          <w:sz w:val="24"/>
          <w:szCs w:val="24"/>
        </w:rPr>
        <w:t xml:space="preserve">potentiate the intestinal permeability-inducing effect of </w:t>
      </w:r>
      <w:r w:rsidR="00486CB0">
        <w:rPr>
          <w:rFonts w:eastAsia="Arial" w:cs="Arial"/>
          <w:color w:val="131413"/>
          <w:sz w:val="24"/>
          <w:szCs w:val="24"/>
        </w:rPr>
        <w:t>low concentrations of MCFA</w:t>
      </w:r>
      <w:r w:rsidR="00BB6613">
        <w:rPr>
          <w:rFonts w:eastAsia="Arial" w:cs="Arial"/>
          <w:color w:val="131413"/>
          <w:sz w:val="24"/>
          <w:szCs w:val="24"/>
        </w:rPr>
        <w:t xml:space="preserve"> </w:t>
      </w:r>
      <w:r w:rsidR="00BB6613">
        <w:rPr>
          <w:rFonts w:eastAsia="Arial" w:cs="Arial"/>
          <w:color w:val="131413"/>
          <w:sz w:val="24"/>
          <w:szCs w:val="24"/>
        </w:rPr>
        <w:lastRenderedPageBreak/>
        <w:t>on FD4</w:t>
      </w:r>
      <w:r w:rsidR="000901E2">
        <w:rPr>
          <w:rFonts w:eastAsia="Arial" w:cs="Arial"/>
          <w:color w:val="131413"/>
          <w:sz w:val="24"/>
          <w:szCs w:val="24"/>
        </w:rPr>
        <w:t xml:space="preserve"> across rat intestinal tissue mucosae. We therefore investigated whether</w:t>
      </w:r>
      <w:r w:rsidR="009F30FF">
        <w:rPr>
          <w:rFonts w:eastAsia="Arial" w:cs="Arial"/>
          <w:color w:val="131413"/>
          <w:sz w:val="24"/>
          <w:szCs w:val="24"/>
        </w:rPr>
        <w:t xml:space="preserve"> </w:t>
      </w:r>
      <w:r w:rsidR="00F00B47">
        <w:rPr>
          <w:rFonts w:eastAsia="Arial" w:cs="Arial"/>
          <w:color w:val="131413"/>
          <w:sz w:val="24"/>
          <w:szCs w:val="24"/>
        </w:rPr>
        <w:t xml:space="preserve"> </w:t>
      </w:r>
      <w:r w:rsidRPr="00E2407B">
        <w:rPr>
          <w:rFonts w:eastAsia="Arial" w:cs="Arial"/>
          <w:color w:val="131413"/>
          <w:sz w:val="24"/>
          <w:szCs w:val="24"/>
        </w:rPr>
        <w:t xml:space="preserve">the combination may (a) be more effective in delivering </w:t>
      </w:r>
      <w:r w:rsidR="00EC37FB">
        <w:rPr>
          <w:rFonts w:eastAsia="Arial" w:cs="Arial"/>
          <w:color w:val="131413"/>
          <w:sz w:val="24"/>
          <w:szCs w:val="24"/>
        </w:rPr>
        <w:t xml:space="preserve">a </w:t>
      </w:r>
      <w:r w:rsidRPr="00E2407B">
        <w:rPr>
          <w:rFonts w:eastAsia="Arial" w:cs="Arial"/>
          <w:color w:val="131413"/>
          <w:sz w:val="24"/>
          <w:szCs w:val="24"/>
        </w:rPr>
        <w:t xml:space="preserve">poorly permeable macromolecule than either approach alone and (b) permit lower concentrations of MCFAs to be used than in current iterations. </w:t>
      </w:r>
      <w:r w:rsidR="000901E2">
        <w:rPr>
          <w:rFonts w:eastAsia="Arial" w:cs="Arial"/>
          <w:color w:val="131413"/>
          <w:sz w:val="24"/>
          <w:szCs w:val="24"/>
        </w:rPr>
        <w:t xml:space="preserve">Importantly, </w:t>
      </w:r>
      <w:r w:rsidR="00EF171E">
        <w:rPr>
          <w:rFonts w:eastAsia="Arial" w:cs="Arial"/>
          <w:color w:val="131413"/>
          <w:sz w:val="24"/>
          <w:szCs w:val="24"/>
        </w:rPr>
        <w:t xml:space="preserve">MCFA were tested at concentrations </w:t>
      </w:r>
      <w:r w:rsidR="000901E2">
        <w:rPr>
          <w:rFonts w:eastAsia="Arial" w:cs="Arial"/>
          <w:color w:val="131413"/>
          <w:sz w:val="24"/>
          <w:szCs w:val="24"/>
        </w:rPr>
        <w:t>known to</w:t>
      </w:r>
      <w:r w:rsidR="00EF171E">
        <w:rPr>
          <w:rFonts w:eastAsia="Arial" w:cs="Arial"/>
          <w:color w:val="131413"/>
          <w:sz w:val="24"/>
          <w:szCs w:val="24"/>
        </w:rPr>
        <w:t xml:space="preserve"> produce little permeation enhancement</w:t>
      </w:r>
      <w:r w:rsidR="009B1871">
        <w:rPr>
          <w:rFonts w:eastAsia="Arial" w:cs="Arial"/>
          <w:color w:val="131413"/>
          <w:sz w:val="24"/>
          <w:szCs w:val="24"/>
        </w:rPr>
        <w:t>, so that effects might be seen when combined with similarly low concentrations of Labrasol</w:t>
      </w:r>
      <w:r w:rsidR="009B1871">
        <w:rPr>
          <w:rFonts w:eastAsia="Arial"/>
          <w:color w:val="131413"/>
          <w:sz w:val="24"/>
          <w:szCs w:val="24"/>
        </w:rPr>
        <w:t>®</w:t>
      </w:r>
      <w:r w:rsidR="00EF171E">
        <w:rPr>
          <w:rFonts w:eastAsia="Arial" w:cs="Arial"/>
          <w:color w:val="131413"/>
          <w:sz w:val="24"/>
          <w:szCs w:val="24"/>
        </w:rPr>
        <w:t xml:space="preserve">. </w:t>
      </w:r>
      <w:r w:rsidRPr="00E2407B">
        <w:rPr>
          <w:rFonts w:eastAsia="Arial" w:cs="Arial"/>
          <w:sz w:val="24"/>
          <w:szCs w:val="24"/>
        </w:rPr>
        <w:t xml:space="preserve">We determined if mixing concentrations of three selected MCFA salts </w:t>
      </w:r>
      <w:r w:rsidR="000C4F50">
        <w:rPr>
          <w:rFonts w:eastAsia="Arial" w:cs="Arial"/>
          <w:sz w:val="24"/>
          <w:szCs w:val="24"/>
        </w:rPr>
        <w:t xml:space="preserve">individually </w:t>
      </w:r>
      <w:r w:rsidRPr="00E2407B">
        <w:rPr>
          <w:rFonts w:eastAsia="Arial" w:cs="Arial"/>
          <w:sz w:val="24"/>
          <w:szCs w:val="24"/>
        </w:rPr>
        <w:t>with Labrasol® c</w:t>
      </w:r>
      <w:r w:rsidR="000C4F50">
        <w:rPr>
          <w:rFonts w:eastAsia="Arial" w:cs="Arial"/>
          <w:sz w:val="24"/>
          <w:szCs w:val="24"/>
        </w:rPr>
        <w:t>ould</w:t>
      </w:r>
      <w:r w:rsidRPr="00E2407B">
        <w:rPr>
          <w:rFonts w:eastAsia="Arial" w:cs="Arial"/>
          <w:sz w:val="24"/>
          <w:szCs w:val="24"/>
        </w:rPr>
        <w:t xml:space="preserve"> create a system with improved permeability-enhancement efficacy, as well as reduced toxicology across isolated muscle-stripped rat intestinal mucosae mounted in Ussing chambers.</w:t>
      </w:r>
    </w:p>
    <w:p w14:paraId="771AC9E3" w14:textId="77777777" w:rsidR="00720511" w:rsidRPr="00E2407B" w:rsidRDefault="00942B2B" w:rsidP="00E2407B">
      <w:pPr>
        <w:spacing w:line="360" w:lineRule="auto"/>
        <w:rPr>
          <w:rFonts w:eastAsia="Arial" w:cs="Arial"/>
          <w:b/>
          <w:sz w:val="24"/>
          <w:szCs w:val="24"/>
        </w:rPr>
      </w:pPr>
      <w:r w:rsidRPr="00E2407B">
        <w:rPr>
          <w:rFonts w:eastAsia="Arial" w:cs="Arial"/>
          <w:b/>
          <w:sz w:val="24"/>
          <w:szCs w:val="24"/>
        </w:rPr>
        <w:br/>
        <w:t>MATERIALS AND METHODS</w:t>
      </w:r>
    </w:p>
    <w:p w14:paraId="59C00A57" w14:textId="77777777" w:rsidR="00720511" w:rsidRPr="00E2407B" w:rsidRDefault="00942B2B" w:rsidP="00E2407B">
      <w:pPr>
        <w:spacing w:after="100" w:line="360" w:lineRule="auto"/>
        <w:rPr>
          <w:rFonts w:eastAsia="Arial" w:cs="Arial"/>
          <w:b/>
          <w:sz w:val="24"/>
          <w:szCs w:val="24"/>
        </w:rPr>
      </w:pPr>
      <w:r w:rsidRPr="00E2407B">
        <w:rPr>
          <w:rFonts w:eastAsia="Arial" w:cs="Arial"/>
          <w:b/>
          <w:sz w:val="24"/>
          <w:szCs w:val="24"/>
        </w:rPr>
        <w:t>Materials</w:t>
      </w:r>
    </w:p>
    <w:p w14:paraId="375995A1" w14:textId="3E4F60D3" w:rsidR="00720511" w:rsidRPr="00E2407B" w:rsidRDefault="00942B2B" w:rsidP="00E2407B">
      <w:pPr>
        <w:spacing w:after="100" w:line="360" w:lineRule="auto"/>
        <w:rPr>
          <w:rFonts w:eastAsia="Arial" w:cs="Arial"/>
          <w:sz w:val="24"/>
          <w:szCs w:val="24"/>
        </w:rPr>
      </w:pPr>
      <w:r w:rsidRPr="00E2407B">
        <w:rPr>
          <w:rFonts w:eastAsia="Arial" w:cs="Arial"/>
          <w:sz w:val="24"/>
          <w:szCs w:val="24"/>
        </w:rPr>
        <w:t>Sodium undecylenate (C</w:t>
      </w:r>
      <w:r w:rsidRPr="00E2407B">
        <w:rPr>
          <w:rFonts w:eastAsia="Arial" w:cs="Arial"/>
          <w:sz w:val="24"/>
          <w:szCs w:val="24"/>
          <w:vertAlign w:val="subscript"/>
        </w:rPr>
        <w:t>11:1</w:t>
      </w:r>
      <w:r w:rsidRPr="00E2407B">
        <w:rPr>
          <w:rFonts w:eastAsia="Arial" w:cs="Arial"/>
          <w:sz w:val="24"/>
          <w:szCs w:val="24"/>
        </w:rPr>
        <w:t xml:space="preserve">) was purchased from Chemos GmbH (Germany). Labrasol®-ALF (Labrasol®) was a gift from Gattefossé (France). </w:t>
      </w:r>
      <w:r w:rsidR="001F29C2">
        <w:rPr>
          <w:rFonts w:eastAsia="Arial" w:cs="Arial"/>
          <w:sz w:val="24"/>
          <w:szCs w:val="24"/>
        </w:rPr>
        <w:t>Unless otherwise stated, a</w:t>
      </w:r>
      <w:r w:rsidRPr="00E2407B">
        <w:rPr>
          <w:rFonts w:eastAsia="Arial" w:cs="Arial"/>
          <w:sz w:val="24"/>
          <w:szCs w:val="24"/>
        </w:rPr>
        <w:t>ll other reagents and chemicals were of analytical grade and obtained from Sigma Aldrich (Ireland) unless stated.</w:t>
      </w:r>
      <w:r w:rsidR="003F021F">
        <w:rPr>
          <w:rFonts w:eastAsia="Arial" w:cs="Arial"/>
          <w:sz w:val="24"/>
          <w:szCs w:val="24"/>
        </w:rPr>
        <w:br/>
      </w:r>
    </w:p>
    <w:p w14:paraId="02CE1C28" w14:textId="77777777" w:rsidR="00720511" w:rsidRPr="00E2407B" w:rsidRDefault="00942B2B" w:rsidP="00E2407B">
      <w:pPr>
        <w:spacing w:after="100" w:line="360" w:lineRule="auto"/>
        <w:rPr>
          <w:rFonts w:eastAsia="Arial" w:cs="Arial"/>
          <w:b/>
          <w:i/>
          <w:sz w:val="24"/>
          <w:szCs w:val="24"/>
        </w:rPr>
      </w:pPr>
      <w:r w:rsidRPr="00E2407B">
        <w:rPr>
          <w:rFonts w:eastAsia="Arial" w:cs="Arial"/>
          <w:b/>
          <w:i/>
          <w:sz w:val="24"/>
          <w:szCs w:val="24"/>
        </w:rPr>
        <w:t>Tissue preparation</w:t>
      </w:r>
    </w:p>
    <w:p w14:paraId="381AD5C4" w14:textId="5FEE8CD1" w:rsidR="009833EC" w:rsidRDefault="00942B2B" w:rsidP="00E2407B">
      <w:pPr>
        <w:spacing w:after="100" w:line="360" w:lineRule="auto"/>
        <w:rPr>
          <w:rFonts w:eastAsia="Arial" w:cs="Arial"/>
          <w:i/>
          <w:sz w:val="24"/>
          <w:szCs w:val="24"/>
        </w:rPr>
      </w:pPr>
      <w:r w:rsidRPr="00E2407B">
        <w:rPr>
          <w:rFonts w:eastAsia="Arial" w:cs="Arial"/>
          <w:sz w:val="24"/>
          <w:szCs w:val="24"/>
        </w:rPr>
        <w:t>Male Wistar rats (250-300g, Charles River, UK) were euthanized by stunning and cervical dislocation. All animal experiments were carried out in accordance with an approved UCD Animal Research Ethics Committee protocol for use of post-mortem rat tissue (AREC 14–28-Brayden). Following euthanasia, the colon was removed and placed in pre-warmed (37 °C), oxygenated, Krebs-Henseleit (KH) buffer. The colon was cut open along the mesenteric border, pinned mucosal side down on a dissection board and the underlying smooth muscle was removed by blunt dissection with a size 5 watchmaker forceps [</w:t>
      </w:r>
      <w:hyperlink w:anchor="_1pxezwc">
        <w:r w:rsidRPr="00033581">
          <w:rPr>
            <w:rFonts w:eastAsia="Arial" w:cs="Arial"/>
            <w:sz w:val="24"/>
            <w:szCs w:val="24"/>
          </w:rPr>
          <w:t>28</w:t>
        </w:r>
      </w:hyperlink>
      <w:r w:rsidRPr="00E2407B">
        <w:rPr>
          <w:rFonts w:eastAsia="Arial" w:cs="Arial"/>
          <w:sz w:val="24"/>
          <w:szCs w:val="24"/>
        </w:rPr>
        <w:t xml:space="preserve">]. </w:t>
      </w:r>
      <w:r w:rsidR="00E550AA" w:rsidRPr="00E550AA">
        <w:rPr>
          <w:rFonts w:eastAsia="Arial"/>
          <w:sz w:val="24"/>
          <w:szCs w:val="24"/>
        </w:rPr>
        <w:t>This screen was performed using m</w:t>
      </w:r>
      <w:r w:rsidR="00045300" w:rsidRPr="00E550AA">
        <w:rPr>
          <w:rFonts w:eastAsia="Arial"/>
          <w:sz w:val="24"/>
          <w:szCs w:val="24"/>
        </w:rPr>
        <w:t>uscle-stripped colonic</w:t>
      </w:r>
      <w:r w:rsidR="001F29C2" w:rsidRPr="00E550AA">
        <w:rPr>
          <w:rFonts w:eastAsia="Arial"/>
          <w:sz w:val="24"/>
          <w:szCs w:val="24"/>
        </w:rPr>
        <w:t xml:space="preserve"> mucosa </w:t>
      </w:r>
      <w:r w:rsidR="00E550AA" w:rsidRPr="00E550AA">
        <w:rPr>
          <w:rFonts w:eastAsia="Arial"/>
          <w:sz w:val="24"/>
          <w:szCs w:val="24"/>
        </w:rPr>
        <w:t>due to</w:t>
      </w:r>
      <w:r w:rsidR="00E550AA" w:rsidRPr="00E550AA">
        <w:rPr>
          <w:i/>
          <w:iCs/>
          <w:sz w:val="24"/>
          <w:szCs w:val="24"/>
        </w:rPr>
        <w:t xml:space="preserve"> </w:t>
      </w:r>
      <w:r w:rsidR="00E550AA" w:rsidRPr="00E550AA">
        <w:rPr>
          <w:iCs/>
          <w:sz w:val="24"/>
          <w:szCs w:val="24"/>
        </w:rPr>
        <w:t>its capacity to better withstand the dissection and to retain function in the Ussing chamber compared to small intestinal mucosae</w:t>
      </w:r>
      <w:r w:rsidR="00584BC9">
        <w:rPr>
          <w:iCs/>
          <w:sz w:val="24"/>
          <w:szCs w:val="24"/>
        </w:rPr>
        <w:t>;</w:t>
      </w:r>
      <w:r w:rsidR="00E550AA" w:rsidRPr="00E550AA">
        <w:rPr>
          <w:iCs/>
          <w:sz w:val="24"/>
          <w:szCs w:val="24"/>
        </w:rPr>
        <w:t xml:space="preserve"> </w:t>
      </w:r>
      <w:r w:rsidR="00E550AA" w:rsidRPr="00E550AA">
        <w:rPr>
          <w:rFonts w:eastAsia="Arial"/>
          <w:sz w:val="24"/>
          <w:szCs w:val="24"/>
        </w:rPr>
        <w:t xml:space="preserve">nonetheless </w:t>
      </w:r>
      <w:r w:rsidR="00584BC9">
        <w:rPr>
          <w:rFonts w:eastAsia="Arial"/>
          <w:sz w:val="24"/>
          <w:szCs w:val="24"/>
        </w:rPr>
        <w:t>several</w:t>
      </w:r>
      <w:r w:rsidR="00E550AA" w:rsidRPr="00E550AA">
        <w:rPr>
          <w:rFonts w:eastAsia="Arial"/>
          <w:sz w:val="24"/>
          <w:szCs w:val="24"/>
        </w:rPr>
        <w:t xml:space="preserve"> of the epithelial </w:t>
      </w:r>
      <w:r w:rsidR="00584BC9">
        <w:rPr>
          <w:rFonts w:eastAsia="Arial"/>
          <w:sz w:val="24"/>
          <w:szCs w:val="24"/>
        </w:rPr>
        <w:t xml:space="preserve">transport </w:t>
      </w:r>
      <w:r w:rsidR="00E550AA" w:rsidRPr="00E550AA">
        <w:rPr>
          <w:rFonts w:eastAsia="Arial"/>
          <w:sz w:val="24"/>
          <w:szCs w:val="24"/>
        </w:rPr>
        <w:t xml:space="preserve">features </w:t>
      </w:r>
      <w:r w:rsidR="00584BC9">
        <w:rPr>
          <w:rFonts w:eastAsia="Arial"/>
          <w:sz w:val="24"/>
          <w:szCs w:val="24"/>
        </w:rPr>
        <w:t xml:space="preserve">of the colonic mucosa </w:t>
      </w:r>
      <w:r w:rsidR="00E550AA" w:rsidRPr="00E550AA">
        <w:rPr>
          <w:rFonts w:eastAsia="Arial"/>
          <w:sz w:val="24"/>
          <w:szCs w:val="24"/>
        </w:rPr>
        <w:t xml:space="preserve">are </w:t>
      </w:r>
      <w:r w:rsidR="00584BC9">
        <w:rPr>
          <w:rFonts w:eastAsia="Arial"/>
          <w:sz w:val="24"/>
          <w:szCs w:val="24"/>
        </w:rPr>
        <w:t>similar</w:t>
      </w:r>
      <w:r w:rsidR="00E550AA" w:rsidRPr="00E550AA">
        <w:rPr>
          <w:rFonts w:eastAsia="Arial"/>
          <w:sz w:val="24"/>
          <w:szCs w:val="24"/>
        </w:rPr>
        <w:t xml:space="preserve"> to</w:t>
      </w:r>
      <w:r w:rsidR="00584BC9">
        <w:rPr>
          <w:rFonts w:eastAsia="Arial"/>
          <w:sz w:val="24"/>
          <w:szCs w:val="24"/>
        </w:rPr>
        <w:t xml:space="preserve"> those of</w:t>
      </w:r>
      <w:r w:rsidR="00E550AA" w:rsidRPr="00E550AA">
        <w:rPr>
          <w:rFonts w:eastAsia="Arial"/>
          <w:sz w:val="24"/>
          <w:szCs w:val="24"/>
        </w:rPr>
        <w:t xml:space="preserve"> the </w:t>
      </w:r>
      <w:r w:rsidR="00584BC9">
        <w:rPr>
          <w:rFonts w:eastAsia="Arial"/>
          <w:sz w:val="24"/>
          <w:szCs w:val="24"/>
        </w:rPr>
        <w:t xml:space="preserve">small </w:t>
      </w:r>
      <w:r w:rsidR="00E550AA" w:rsidRPr="00E550AA">
        <w:rPr>
          <w:rFonts w:eastAsia="Arial"/>
          <w:sz w:val="24"/>
          <w:szCs w:val="24"/>
        </w:rPr>
        <w:t>intestine.</w:t>
      </w:r>
      <w:r w:rsidR="00584BC9">
        <w:rPr>
          <w:rFonts w:eastAsia="Arial" w:cs="Arial"/>
          <w:sz w:val="24"/>
          <w:szCs w:val="24"/>
        </w:rPr>
        <w:t xml:space="preserve"> </w:t>
      </w:r>
    </w:p>
    <w:p w14:paraId="09DB8DEB" w14:textId="77777777" w:rsidR="009F1AEB" w:rsidRDefault="009F1AEB" w:rsidP="00E2407B">
      <w:pPr>
        <w:spacing w:after="100" w:line="360" w:lineRule="auto"/>
        <w:rPr>
          <w:rFonts w:eastAsia="Arial" w:cs="Arial"/>
          <w:b/>
          <w:i/>
          <w:sz w:val="24"/>
          <w:szCs w:val="24"/>
        </w:rPr>
      </w:pPr>
    </w:p>
    <w:p w14:paraId="0410ED7A" w14:textId="1EA3FAD4" w:rsidR="00720511" w:rsidRPr="00E2407B" w:rsidRDefault="009F1AEB" w:rsidP="00E2407B">
      <w:pPr>
        <w:spacing w:after="100" w:line="360" w:lineRule="auto"/>
        <w:rPr>
          <w:rFonts w:eastAsia="Arial" w:cs="Arial"/>
          <w:i/>
          <w:sz w:val="24"/>
          <w:szCs w:val="24"/>
        </w:rPr>
      </w:pPr>
      <w:r>
        <w:rPr>
          <w:rFonts w:eastAsia="Arial" w:cs="Arial"/>
          <w:b/>
          <w:i/>
          <w:sz w:val="24"/>
          <w:szCs w:val="24"/>
        </w:rPr>
        <w:lastRenderedPageBreak/>
        <w:br/>
      </w:r>
      <w:r w:rsidR="00942B2B" w:rsidRPr="00E2407B">
        <w:rPr>
          <w:rFonts w:eastAsia="Arial" w:cs="Arial"/>
          <w:b/>
          <w:i/>
          <w:sz w:val="24"/>
          <w:szCs w:val="24"/>
        </w:rPr>
        <w:t>Electrophysiology</w:t>
      </w:r>
    </w:p>
    <w:p w14:paraId="187323C9" w14:textId="5C978CB2" w:rsidR="00720511" w:rsidRPr="00E2407B" w:rsidRDefault="00942B2B" w:rsidP="00E2407B">
      <w:pPr>
        <w:spacing w:line="360" w:lineRule="auto"/>
        <w:rPr>
          <w:rFonts w:eastAsia="Arial" w:cs="Arial"/>
          <w:sz w:val="24"/>
          <w:szCs w:val="24"/>
        </w:rPr>
      </w:pPr>
      <w:r w:rsidRPr="00E2407B">
        <w:rPr>
          <w:rFonts w:eastAsia="Arial" w:cs="Arial"/>
          <w:sz w:val="24"/>
          <w:szCs w:val="24"/>
        </w:rPr>
        <w:t>Tissues were mounted in Ussing chambers with a circular window area of 0.63cm</w:t>
      </w:r>
      <w:r w:rsidRPr="00E2407B">
        <w:rPr>
          <w:rFonts w:eastAsia="Arial" w:cs="Arial"/>
          <w:sz w:val="24"/>
          <w:szCs w:val="24"/>
          <w:vertAlign w:val="superscript"/>
        </w:rPr>
        <w:t>2</w:t>
      </w:r>
      <w:r w:rsidRPr="00E2407B">
        <w:rPr>
          <w:rFonts w:eastAsia="Arial" w:cs="Arial"/>
          <w:sz w:val="24"/>
          <w:szCs w:val="24"/>
        </w:rPr>
        <w:t>,</w:t>
      </w:r>
      <w:r w:rsidR="007751D7" w:rsidRPr="00E2407B">
        <w:rPr>
          <w:rFonts w:eastAsia="Arial" w:cs="Arial"/>
          <w:sz w:val="24"/>
          <w:szCs w:val="24"/>
        </w:rPr>
        <w:t xml:space="preserve"> </w:t>
      </w:r>
      <w:r w:rsidRPr="00E2407B">
        <w:rPr>
          <w:rFonts w:eastAsia="Arial" w:cs="Arial"/>
          <w:sz w:val="24"/>
          <w:szCs w:val="24"/>
        </w:rPr>
        <w:t>bathed bilaterally with 5 mL of KH buffer and continuously bubbled with a mixture of O</w:t>
      </w:r>
      <w:r w:rsidRPr="00E2407B">
        <w:rPr>
          <w:rFonts w:eastAsia="Arial" w:cs="Arial"/>
          <w:sz w:val="24"/>
          <w:szCs w:val="24"/>
          <w:vertAlign w:val="subscript"/>
        </w:rPr>
        <w:t>2</w:t>
      </w:r>
      <w:r w:rsidRPr="00E2407B">
        <w:rPr>
          <w:rFonts w:eastAsia="Arial" w:cs="Arial"/>
          <w:sz w:val="24"/>
          <w:szCs w:val="24"/>
        </w:rPr>
        <w:t xml:space="preserve"> and CO</w:t>
      </w:r>
      <w:r w:rsidRPr="00E2407B">
        <w:rPr>
          <w:rFonts w:eastAsia="Arial" w:cs="Arial"/>
          <w:sz w:val="24"/>
          <w:szCs w:val="24"/>
          <w:vertAlign w:val="subscript"/>
        </w:rPr>
        <w:t>2</w:t>
      </w:r>
      <w:r w:rsidRPr="00E2407B">
        <w:rPr>
          <w:rFonts w:eastAsia="Arial" w:cs="Arial"/>
          <w:sz w:val="24"/>
          <w:szCs w:val="24"/>
        </w:rPr>
        <w:t xml:space="preserve"> (95%/5%). Calcium was omitted from KH buffer bathing the apical chamber to avoid precipitation of MCFAs [</w:t>
      </w:r>
      <w:hyperlink w:anchor="_49x2ik5">
        <w:r w:rsidRPr="00033581">
          <w:rPr>
            <w:rFonts w:eastAsia="Arial" w:cs="Arial"/>
            <w:sz w:val="24"/>
            <w:szCs w:val="24"/>
          </w:rPr>
          <w:t>29</w:t>
        </w:r>
      </w:hyperlink>
      <w:r w:rsidRPr="00E2407B">
        <w:rPr>
          <w:rFonts w:eastAsia="Arial" w:cs="Arial"/>
          <w:sz w:val="24"/>
          <w:szCs w:val="24"/>
        </w:rPr>
        <w:t>]. Potential difference (PD, mV) was recorded in an open circuit configuration for a 20 min equilibration period after which the tissue was voltage-clamped using a</w:t>
      </w:r>
      <w:r w:rsidR="005C539D">
        <w:rPr>
          <w:rFonts w:eastAsia="Arial" w:cs="Arial"/>
          <w:sz w:val="24"/>
          <w:szCs w:val="24"/>
        </w:rPr>
        <w:t>n</w:t>
      </w:r>
      <w:r w:rsidR="008923F3">
        <w:rPr>
          <w:rFonts w:eastAsia="Arial" w:cs="Arial"/>
          <w:sz w:val="24"/>
          <w:szCs w:val="24"/>
        </w:rPr>
        <w:t xml:space="preserve"> E</w:t>
      </w:r>
      <w:r w:rsidRPr="00E2407B">
        <w:rPr>
          <w:rFonts w:eastAsia="Arial" w:cs="Arial"/>
          <w:sz w:val="24"/>
          <w:szCs w:val="24"/>
        </w:rPr>
        <w:t xml:space="preserve">pithelial </w:t>
      </w:r>
      <w:r w:rsidR="008923F3">
        <w:rPr>
          <w:rFonts w:eastAsia="Arial" w:cs="Arial"/>
          <w:sz w:val="24"/>
          <w:szCs w:val="24"/>
        </w:rPr>
        <w:t>V</w:t>
      </w:r>
      <w:r w:rsidRPr="00E2407B">
        <w:rPr>
          <w:rFonts w:eastAsia="Arial" w:cs="Arial"/>
          <w:sz w:val="24"/>
          <w:szCs w:val="24"/>
        </w:rPr>
        <w:t xml:space="preserve">oltage </w:t>
      </w:r>
      <w:r w:rsidR="008923F3">
        <w:rPr>
          <w:rFonts w:eastAsia="Arial" w:cs="Arial"/>
          <w:sz w:val="24"/>
          <w:szCs w:val="24"/>
        </w:rPr>
        <w:t>C</w:t>
      </w:r>
      <w:r w:rsidRPr="00E2407B">
        <w:rPr>
          <w:rFonts w:eastAsia="Arial" w:cs="Arial"/>
          <w:sz w:val="24"/>
          <w:szCs w:val="24"/>
        </w:rPr>
        <w:t>lamp (</w:t>
      </w:r>
      <w:r w:rsidR="00E550AA">
        <w:rPr>
          <w:rFonts w:eastAsia="Arial" w:cs="Arial"/>
          <w:sz w:val="24"/>
          <w:szCs w:val="24"/>
        </w:rPr>
        <w:t xml:space="preserve">EVC 4000, </w:t>
      </w:r>
      <w:r w:rsidRPr="00E2407B">
        <w:rPr>
          <w:rFonts w:eastAsia="Arial" w:cs="Arial"/>
          <w:sz w:val="24"/>
          <w:szCs w:val="24"/>
        </w:rPr>
        <w:t>WPI, UK). Short</w:t>
      </w:r>
      <w:r w:rsidR="008923F3">
        <w:rPr>
          <w:rFonts w:eastAsia="Arial" w:cs="Arial"/>
          <w:sz w:val="24"/>
          <w:szCs w:val="24"/>
        </w:rPr>
        <w:t>-</w:t>
      </w:r>
      <w:r w:rsidRPr="00E2407B">
        <w:rPr>
          <w:rFonts w:eastAsia="Arial" w:cs="Arial"/>
          <w:sz w:val="24"/>
          <w:szCs w:val="24"/>
        </w:rPr>
        <w:t>circuit current (I</w:t>
      </w:r>
      <w:r w:rsidRPr="00E2407B">
        <w:rPr>
          <w:rFonts w:eastAsia="Arial" w:cs="Arial"/>
          <w:sz w:val="24"/>
          <w:szCs w:val="24"/>
          <w:vertAlign w:val="subscript"/>
        </w:rPr>
        <w:t>sc</w:t>
      </w:r>
      <w:r w:rsidRPr="00E2407B">
        <w:rPr>
          <w:rFonts w:eastAsia="Arial" w:cs="Arial"/>
          <w:sz w:val="24"/>
          <w:szCs w:val="24"/>
        </w:rPr>
        <w:t>, µA.cm</w:t>
      </w:r>
      <w:r w:rsidRPr="00E2407B">
        <w:rPr>
          <w:rFonts w:eastAsia="Arial" w:cs="Arial"/>
          <w:sz w:val="24"/>
          <w:szCs w:val="24"/>
          <w:vertAlign w:val="superscript"/>
        </w:rPr>
        <w:t>-2</w:t>
      </w:r>
      <w:r w:rsidRPr="00E2407B">
        <w:rPr>
          <w:rFonts w:eastAsia="Arial Unicode MS" w:cs="Arial Unicode MS"/>
          <w:sz w:val="24"/>
          <w:szCs w:val="24"/>
        </w:rPr>
        <w:t xml:space="preserve">) and PD were monitored by switching from clamp to open circuit respectively for 3 s every 30 s using a Pro 4® timer (AD Instruments, UK). The analogue signals were digitised using a Powerlab® data acquisition module and the data was analysed using </w:t>
      </w:r>
      <w:r w:rsidR="00322A61">
        <w:rPr>
          <w:rFonts w:eastAsia="Arial Unicode MS" w:cs="Arial Unicode MS"/>
          <w:sz w:val="24"/>
          <w:szCs w:val="24"/>
        </w:rPr>
        <w:t>Lab</w:t>
      </w:r>
      <w:r w:rsidRPr="00E2407B">
        <w:rPr>
          <w:rFonts w:eastAsia="Arial Unicode MS" w:cs="Arial Unicode MS"/>
          <w:sz w:val="24"/>
          <w:szCs w:val="24"/>
        </w:rPr>
        <w:t>Chart® software (AD Instruments, UK). Trans</w:t>
      </w:r>
      <w:r w:rsidR="005C539D">
        <w:rPr>
          <w:rFonts w:eastAsia="Arial Unicode MS" w:cs="Arial Unicode MS"/>
          <w:sz w:val="24"/>
          <w:szCs w:val="24"/>
        </w:rPr>
        <w:t>-</w:t>
      </w:r>
      <w:r w:rsidRPr="00E2407B">
        <w:rPr>
          <w:rFonts w:eastAsia="Arial Unicode MS" w:cs="Arial Unicode MS"/>
          <w:sz w:val="24"/>
          <w:szCs w:val="24"/>
        </w:rPr>
        <w:t>epithelial electrical resistance (TEER) was calculated using Ohm’s Law (V = IR). The tissue was equilibrated for a further 30 min before commencement of transport studies. Tissues with a baseline TEER of ≤ 70</w:t>
      </w:r>
      <w:r w:rsidR="00EB40C3" w:rsidRPr="00E2407B">
        <w:rPr>
          <w:rFonts w:eastAsia="Arial Unicode MS" w:cs="Arial Unicode MS"/>
          <w:sz w:val="24"/>
          <w:szCs w:val="24"/>
        </w:rPr>
        <w:t xml:space="preserve"> </w:t>
      </w:r>
      <w:r w:rsidRPr="00E2407B">
        <w:rPr>
          <w:rFonts w:eastAsia="Arial Unicode MS" w:cs="Arial Unicode MS"/>
          <w:sz w:val="24"/>
          <w:szCs w:val="24"/>
        </w:rPr>
        <w:t>Ω.cm</w:t>
      </w:r>
      <w:r w:rsidRPr="00E2407B">
        <w:rPr>
          <w:rFonts w:eastAsia="Arial" w:cs="Arial"/>
          <w:sz w:val="24"/>
          <w:szCs w:val="24"/>
          <w:vertAlign w:val="superscript"/>
        </w:rPr>
        <w:t>2</w:t>
      </w:r>
      <w:r w:rsidRPr="00E2407B">
        <w:rPr>
          <w:rFonts w:eastAsia="Arial" w:cs="Arial"/>
          <w:sz w:val="24"/>
          <w:szCs w:val="24"/>
        </w:rPr>
        <w:t xml:space="preserve"> were excluded from the study [</w:t>
      </w:r>
      <w:r w:rsidR="005E6E2B" w:rsidRPr="00033581">
        <w:rPr>
          <w:rFonts w:eastAsia="Arial" w:cs="Arial"/>
          <w:sz w:val="24"/>
          <w:szCs w:val="24"/>
        </w:rPr>
        <w:t>30</w:t>
      </w:r>
      <w:r w:rsidRPr="00E2407B">
        <w:rPr>
          <w:rFonts w:eastAsia="Arial" w:cs="Arial"/>
          <w:sz w:val="24"/>
          <w:szCs w:val="24"/>
        </w:rPr>
        <w:t>].</w:t>
      </w:r>
    </w:p>
    <w:p w14:paraId="14308DEB" w14:textId="77777777" w:rsidR="00720511" w:rsidRPr="00E2407B" w:rsidRDefault="00942B2B" w:rsidP="00E2407B">
      <w:pPr>
        <w:spacing w:after="100" w:line="360" w:lineRule="auto"/>
        <w:rPr>
          <w:rFonts w:eastAsia="Arial" w:cs="Arial"/>
          <w:b/>
          <w:i/>
          <w:sz w:val="24"/>
          <w:szCs w:val="24"/>
        </w:rPr>
      </w:pPr>
      <w:r w:rsidRPr="00E2407B">
        <w:rPr>
          <w:rFonts w:eastAsia="Arial" w:cs="Arial"/>
          <w:b/>
          <w:i/>
          <w:sz w:val="24"/>
          <w:szCs w:val="24"/>
        </w:rPr>
        <w:t>Permeability studies</w:t>
      </w:r>
    </w:p>
    <w:p w14:paraId="25C1372E" w14:textId="722267C9" w:rsidR="00720511" w:rsidRPr="00E2407B" w:rsidRDefault="00942B2B" w:rsidP="00E2407B">
      <w:pPr>
        <w:tabs>
          <w:tab w:val="left" w:pos="6120"/>
        </w:tabs>
        <w:spacing w:line="360" w:lineRule="auto"/>
        <w:rPr>
          <w:rFonts w:eastAsia="Arial" w:cs="Arial"/>
          <w:sz w:val="24"/>
          <w:szCs w:val="24"/>
        </w:rPr>
      </w:pPr>
      <w:r w:rsidRPr="00E2407B">
        <w:rPr>
          <w:rFonts w:eastAsia="Arial" w:cs="Arial"/>
          <w:sz w:val="24"/>
          <w:szCs w:val="24"/>
        </w:rPr>
        <w:t>The apparent permeability coefficient (P</w:t>
      </w:r>
      <w:r w:rsidRPr="00E2407B">
        <w:rPr>
          <w:rFonts w:eastAsia="Arial" w:cs="Arial"/>
          <w:sz w:val="24"/>
          <w:szCs w:val="24"/>
          <w:vertAlign w:val="subscript"/>
        </w:rPr>
        <w:t>app</w:t>
      </w:r>
      <w:r w:rsidRPr="00E2407B">
        <w:rPr>
          <w:rFonts w:eastAsia="Arial" w:cs="Arial"/>
          <w:sz w:val="24"/>
          <w:szCs w:val="24"/>
        </w:rPr>
        <w:t xml:space="preserve">) of FD4 </w:t>
      </w:r>
      <w:r w:rsidR="009F1AEB">
        <w:rPr>
          <w:rFonts w:eastAsia="Arial" w:cs="Arial"/>
          <w:sz w:val="24"/>
          <w:szCs w:val="24"/>
        </w:rPr>
        <w:t xml:space="preserve">across colonic mucosae </w:t>
      </w:r>
      <w:r w:rsidRPr="00E2407B">
        <w:rPr>
          <w:rFonts w:eastAsia="Arial" w:cs="Arial"/>
          <w:sz w:val="24"/>
          <w:szCs w:val="24"/>
        </w:rPr>
        <w:t xml:space="preserve">was </w:t>
      </w:r>
      <w:r w:rsidR="009F1AEB">
        <w:rPr>
          <w:rFonts w:eastAsia="Arial" w:cs="Arial"/>
          <w:sz w:val="24"/>
          <w:szCs w:val="24"/>
        </w:rPr>
        <w:t xml:space="preserve">assessed </w:t>
      </w:r>
      <w:r w:rsidRPr="00E2407B">
        <w:rPr>
          <w:rFonts w:eastAsia="Arial" w:cs="Arial"/>
          <w:sz w:val="24"/>
          <w:szCs w:val="24"/>
        </w:rPr>
        <w:t>[</w:t>
      </w:r>
      <w:r w:rsidR="0032504C">
        <w:rPr>
          <w:rFonts w:eastAsia="Arial" w:cs="Arial"/>
          <w:sz w:val="24"/>
          <w:szCs w:val="24"/>
        </w:rPr>
        <w:t>31</w:t>
      </w:r>
      <w:r w:rsidR="002D77EC">
        <w:rPr>
          <w:rFonts w:eastAsia="Arial" w:cs="Arial"/>
          <w:sz w:val="24"/>
          <w:szCs w:val="24"/>
        </w:rPr>
        <w:t>]. After tissue equilibration of 30 min</w:t>
      </w:r>
      <w:r w:rsidRPr="00E2407B">
        <w:rPr>
          <w:rFonts w:eastAsia="Arial" w:cs="Arial"/>
          <w:sz w:val="24"/>
          <w:szCs w:val="24"/>
        </w:rPr>
        <w:t>, FD4 (2.5 mg/mL) was added to the apical chamber. Samples (T</w:t>
      </w:r>
      <w:r w:rsidRPr="00E2407B">
        <w:rPr>
          <w:rFonts w:eastAsia="Arial" w:cs="Arial"/>
          <w:sz w:val="24"/>
          <w:szCs w:val="24"/>
          <w:vertAlign w:val="subscript"/>
        </w:rPr>
        <w:t>0</w:t>
      </w:r>
      <w:r w:rsidRPr="00E2407B">
        <w:rPr>
          <w:rFonts w:eastAsia="Arial" w:cs="Arial"/>
          <w:sz w:val="24"/>
          <w:szCs w:val="24"/>
        </w:rPr>
        <w:t>) were taken from the apical and basolateral side of the chamber (200 µL) and replenished with fresh KH buffer. PE treatments were then added apically and basolateral samples were taken every 20 min for 120 min, replacing the sampled volume (200 µL) with fresh KH buffer. The concentration of FD4 was measured in a spectrofluorimeter (λ</w:t>
      </w:r>
      <w:r w:rsidRPr="00E2407B">
        <w:rPr>
          <w:rFonts w:eastAsia="Arial" w:cs="Arial"/>
          <w:sz w:val="24"/>
          <w:szCs w:val="24"/>
          <w:vertAlign w:val="subscript"/>
        </w:rPr>
        <w:t>Ex</w:t>
      </w:r>
      <w:r w:rsidRPr="00E2407B">
        <w:rPr>
          <w:rFonts w:eastAsia="Arial" w:cs="Arial"/>
          <w:sz w:val="24"/>
          <w:szCs w:val="24"/>
        </w:rPr>
        <w:t xml:space="preserve"> 490 nm / λ</w:t>
      </w:r>
      <w:r w:rsidRPr="00E2407B">
        <w:rPr>
          <w:rFonts w:eastAsia="Arial" w:cs="Arial"/>
          <w:sz w:val="24"/>
          <w:szCs w:val="24"/>
          <w:vertAlign w:val="subscript"/>
        </w:rPr>
        <w:t>Em</w:t>
      </w:r>
      <w:r w:rsidRPr="00E2407B">
        <w:rPr>
          <w:rFonts w:eastAsia="Arial" w:cs="Arial"/>
          <w:sz w:val="24"/>
          <w:szCs w:val="24"/>
        </w:rPr>
        <w:t xml:space="preserve"> 520 nm) (MD Spectramax Gemini, UK).</w:t>
      </w:r>
      <w:r w:rsidR="00324379">
        <w:rPr>
          <w:rFonts w:eastAsia="Arial" w:cs="Arial"/>
          <w:sz w:val="24"/>
          <w:szCs w:val="24"/>
        </w:rPr>
        <w:t xml:space="preserve"> The detection range was 0.01 – 2</w:t>
      </w:r>
      <w:r w:rsidR="00E550AA">
        <w:rPr>
          <w:rFonts w:eastAsia="Arial" w:cs="Arial"/>
          <w:sz w:val="24"/>
          <w:szCs w:val="24"/>
        </w:rPr>
        <w:t>.</w:t>
      </w:r>
      <w:r w:rsidR="00324379">
        <w:rPr>
          <w:rFonts w:eastAsia="Arial" w:cs="Arial"/>
          <w:sz w:val="24"/>
          <w:szCs w:val="24"/>
        </w:rPr>
        <w:t xml:space="preserve">525 </w:t>
      </w:r>
      <w:r w:rsidR="00324379">
        <w:rPr>
          <w:rFonts w:eastAsia="Arial"/>
          <w:sz w:val="24"/>
          <w:szCs w:val="24"/>
        </w:rPr>
        <w:t>µ</w:t>
      </w:r>
      <w:r w:rsidR="00324379">
        <w:rPr>
          <w:rFonts w:eastAsia="Arial" w:cs="Arial"/>
          <w:sz w:val="24"/>
          <w:szCs w:val="24"/>
        </w:rPr>
        <w:t>g/mL.</w:t>
      </w:r>
      <w:r w:rsidRPr="00E2407B">
        <w:rPr>
          <w:rFonts w:eastAsia="Arial" w:cs="Arial"/>
          <w:sz w:val="24"/>
          <w:szCs w:val="24"/>
        </w:rPr>
        <w:t xml:space="preserve"> The P</w:t>
      </w:r>
      <w:r w:rsidRPr="00E2407B">
        <w:rPr>
          <w:rFonts w:eastAsia="Arial" w:cs="Arial"/>
          <w:sz w:val="24"/>
          <w:szCs w:val="24"/>
          <w:vertAlign w:val="subscript"/>
        </w:rPr>
        <w:t>app</w:t>
      </w:r>
      <w:r w:rsidRPr="00E2407B">
        <w:rPr>
          <w:rFonts w:eastAsia="Arial" w:cs="Arial"/>
          <w:sz w:val="24"/>
          <w:szCs w:val="24"/>
        </w:rPr>
        <w:t xml:space="preserve"> was calculated using the equation P</w:t>
      </w:r>
      <w:r w:rsidRPr="00E2407B">
        <w:rPr>
          <w:rFonts w:eastAsia="Arial" w:cs="Arial"/>
          <w:sz w:val="24"/>
          <w:szCs w:val="24"/>
          <w:vertAlign w:val="subscript"/>
        </w:rPr>
        <w:t>app</w:t>
      </w:r>
      <w:r w:rsidRPr="00E2407B">
        <w:rPr>
          <w:rFonts w:eastAsia="Arial Unicode MS" w:cs="Arial Unicode MS"/>
          <w:sz w:val="24"/>
          <w:szCs w:val="24"/>
        </w:rPr>
        <w:t xml:space="preserve"> (cm/s) = (dQ/dt) ∙ (1/A</w:t>
      </w:r>
      <w:r w:rsidRPr="00E2407B">
        <w:rPr>
          <w:rFonts w:eastAsia="Calibri" w:cs="Calibri"/>
          <w:sz w:val="24"/>
          <w:szCs w:val="24"/>
        </w:rPr>
        <w:t>∙</w:t>
      </w:r>
      <w:r w:rsidRPr="00E2407B">
        <w:rPr>
          <w:rFonts w:eastAsia="Arial" w:cs="Arial"/>
          <w:sz w:val="24"/>
          <w:szCs w:val="24"/>
        </w:rPr>
        <w:t>C</w:t>
      </w:r>
      <w:r w:rsidRPr="00E2407B">
        <w:rPr>
          <w:rFonts w:eastAsia="Arial" w:cs="Arial"/>
          <w:sz w:val="24"/>
          <w:szCs w:val="24"/>
          <w:vertAlign w:val="subscript"/>
        </w:rPr>
        <w:t>0</w:t>
      </w:r>
      <w:r w:rsidRPr="00E2407B">
        <w:rPr>
          <w:rFonts w:eastAsia="Arial" w:cs="Arial"/>
          <w:sz w:val="24"/>
          <w:szCs w:val="24"/>
        </w:rPr>
        <w:t>), where dQ/dt is the rate of transport (mol/s), A is the exposed surface area of the mucosa and C</w:t>
      </w:r>
      <w:r w:rsidRPr="00E2407B">
        <w:rPr>
          <w:rFonts w:eastAsia="Arial" w:cs="Arial"/>
          <w:sz w:val="24"/>
          <w:szCs w:val="24"/>
          <w:vertAlign w:val="subscript"/>
        </w:rPr>
        <w:t>0</w:t>
      </w:r>
      <w:r w:rsidRPr="00E2407B">
        <w:rPr>
          <w:rFonts w:eastAsia="Arial" w:cs="Arial"/>
          <w:sz w:val="24"/>
          <w:szCs w:val="24"/>
        </w:rPr>
        <w:t xml:space="preserve"> is the starting concentration of FD4 in the donor compartment (mol/mL) [</w:t>
      </w:r>
      <w:r w:rsidR="0032504C" w:rsidRPr="00033581">
        <w:t>28</w:t>
      </w:r>
      <w:r w:rsidRPr="00E2407B">
        <w:rPr>
          <w:rFonts w:eastAsia="Arial" w:cs="Arial"/>
          <w:sz w:val="24"/>
          <w:szCs w:val="24"/>
        </w:rPr>
        <w:t>].</w:t>
      </w:r>
      <w:r w:rsidR="00617356">
        <w:rPr>
          <w:rFonts w:eastAsia="Arial" w:cs="Arial"/>
          <w:sz w:val="24"/>
          <w:szCs w:val="24"/>
        </w:rPr>
        <w:t xml:space="preserve"> The rate of transport for FD4 is linear and data was only used if R</w:t>
      </w:r>
      <w:r w:rsidR="00617356">
        <w:rPr>
          <w:rFonts w:eastAsia="Arial" w:cs="Arial"/>
          <w:sz w:val="24"/>
          <w:szCs w:val="24"/>
          <w:vertAlign w:val="superscript"/>
        </w:rPr>
        <w:t xml:space="preserve">2 </w:t>
      </w:r>
      <w:r w:rsidR="00617356">
        <w:rPr>
          <w:rFonts w:eastAsia="Arial" w:cs="Arial"/>
          <w:sz w:val="24"/>
          <w:szCs w:val="24"/>
        </w:rPr>
        <w:sym w:font="Symbol" w:char="F0B3"/>
      </w:r>
      <w:r w:rsidR="00617356">
        <w:rPr>
          <w:rFonts w:eastAsia="Arial" w:cs="Arial"/>
          <w:sz w:val="24"/>
          <w:szCs w:val="24"/>
        </w:rPr>
        <w:t xml:space="preserve"> 0.9.</w:t>
      </w:r>
      <w:r w:rsidR="00817159">
        <w:rPr>
          <w:rFonts w:eastAsia="Arial" w:cs="Arial"/>
          <w:sz w:val="24"/>
          <w:szCs w:val="24"/>
        </w:rPr>
        <w:t xml:space="preserve"> </w:t>
      </w:r>
      <w:r w:rsidRPr="00E2407B">
        <w:rPr>
          <w:rFonts w:eastAsia="Arial" w:cs="Arial"/>
          <w:sz w:val="24"/>
          <w:szCs w:val="24"/>
        </w:rPr>
        <w:t xml:space="preserve"> The Enhancement Ratio (ER) was defined as the ratio of the P</w:t>
      </w:r>
      <w:r w:rsidRPr="00E2407B">
        <w:rPr>
          <w:rFonts w:eastAsia="Arial" w:cs="Arial"/>
          <w:sz w:val="24"/>
          <w:szCs w:val="24"/>
          <w:vertAlign w:val="subscript"/>
        </w:rPr>
        <w:t>app</w:t>
      </w:r>
      <w:r w:rsidRPr="00E2407B">
        <w:rPr>
          <w:rFonts w:eastAsia="Arial" w:cs="Arial"/>
          <w:sz w:val="24"/>
          <w:szCs w:val="24"/>
        </w:rPr>
        <w:t xml:space="preserve"> of a specified treatment to the P</w:t>
      </w:r>
      <w:r w:rsidRPr="00E2407B">
        <w:rPr>
          <w:rFonts w:eastAsia="Arial" w:cs="Arial"/>
          <w:sz w:val="24"/>
          <w:szCs w:val="24"/>
          <w:vertAlign w:val="subscript"/>
        </w:rPr>
        <w:t>app</w:t>
      </w:r>
      <w:r w:rsidRPr="00E2407B">
        <w:rPr>
          <w:rFonts w:eastAsia="Arial" w:cs="Arial"/>
          <w:sz w:val="24"/>
          <w:szCs w:val="24"/>
        </w:rPr>
        <w:t xml:space="preserve"> of the untreated control (ER = Test Treatment P</w:t>
      </w:r>
      <w:r w:rsidRPr="00E2407B">
        <w:rPr>
          <w:rFonts w:eastAsia="Arial" w:cs="Arial"/>
          <w:sz w:val="24"/>
          <w:szCs w:val="24"/>
          <w:vertAlign w:val="subscript"/>
        </w:rPr>
        <w:t>app</w:t>
      </w:r>
      <w:r w:rsidRPr="00E2407B">
        <w:rPr>
          <w:rFonts w:eastAsia="Arial" w:cs="Arial"/>
          <w:sz w:val="24"/>
          <w:szCs w:val="24"/>
        </w:rPr>
        <w:t>/control P</w:t>
      </w:r>
      <w:r w:rsidRPr="00E2407B">
        <w:rPr>
          <w:rFonts w:eastAsia="Arial" w:cs="Arial"/>
          <w:sz w:val="24"/>
          <w:szCs w:val="24"/>
          <w:vertAlign w:val="subscript"/>
        </w:rPr>
        <w:t>app</w:t>
      </w:r>
      <w:r w:rsidRPr="00E2407B">
        <w:rPr>
          <w:rFonts w:eastAsia="Arial" w:cs="Arial"/>
          <w:sz w:val="24"/>
          <w:szCs w:val="24"/>
        </w:rPr>
        <w:t>). At the end of each experiment, the ability of tissue to produce a transient inward short</w:t>
      </w:r>
      <w:r w:rsidR="00A35535">
        <w:rPr>
          <w:rFonts w:eastAsia="Arial" w:cs="Arial"/>
          <w:sz w:val="24"/>
          <w:szCs w:val="24"/>
        </w:rPr>
        <w:t>-</w:t>
      </w:r>
      <w:r w:rsidR="008D323B">
        <w:rPr>
          <w:rFonts w:eastAsia="Arial" w:cs="Arial"/>
          <w:sz w:val="24"/>
          <w:szCs w:val="24"/>
        </w:rPr>
        <w:t>circuit</w:t>
      </w:r>
      <w:r w:rsidRPr="00E2407B">
        <w:rPr>
          <w:rFonts w:eastAsia="Arial" w:cs="Arial"/>
          <w:sz w:val="24"/>
          <w:szCs w:val="24"/>
        </w:rPr>
        <w:t xml:space="preserve"> current (ΔI</w:t>
      </w:r>
      <w:r w:rsidRPr="00E2407B">
        <w:rPr>
          <w:rFonts w:eastAsia="Arial" w:cs="Arial"/>
          <w:sz w:val="24"/>
          <w:szCs w:val="24"/>
          <w:vertAlign w:val="subscript"/>
        </w:rPr>
        <w:t>sc</w:t>
      </w:r>
      <w:r w:rsidRPr="00E2407B">
        <w:rPr>
          <w:rFonts w:eastAsia="Arial" w:cs="Arial"/>
          <w:sz w:val="24"/>
          <w:szCs w:val="24"/>
        </w:rPr>
        <w:t>) in response to the cholinomimetic, carbachol (CCh) (0.1-10 µM), was used as a measure of maintenance of secretory function [</w:t>
      </w:r>
      <w:hyperlink w:anchor="_3o7alnk">
        <w:r w:rsidRPr="00033581">
          <w:rPr>
            <w:rFonts w:eastAsia="Arial" w:cs="Arial"/>
            <w:sz w:val="24"/>
            <w:szCs w:val="24"/>
          </w:rPr>
          <w:t>32</w:t>
        </w:r>
      </w:hyperlink>
      <w:r w:rsidRPr="00E2407B">
        <w:rPr>
          <w:rFonts w:eastAsia="Arial" w:cs="Arial"/>
          <w:sz w:val="24"/>
          <w:szCs w:val="24"/>
        </w:rPr>
        <w:t>].</w:t>
      </w:r>
    </w:p>
    <w:p w14:paraId="13DA4C84" w14:textId="77777777" w:rsidR="009F1AEB" w:rsidRDefault="009F1AEB" w:rsidP="00E2407B">
      <w:pPr>
        <w:tabs>
          <w:tab w:val="left" w:pos="6120"/>
        </w:tabs>
        <w:spacing w:after="100" w:line="360" w:lineRule="auto"/>
        <w:rPr>
          <w:rFonts w:eastAsia="Arial" w:cs="Arial"/>
          <w:b/>
          <w:i/>
          <w:sz w:val="24"/>
          <w:szCs w:val="24"/>
        </w:rPr>
      </w:pPr>
    </w:p>
    <w:p w14:paraId="006EAC24" w14:textId="77777777" w:rsidR="00720511" w:rsidRPr="00E2407B" w:rsidRDefault="00942B2B" w:rsidP="00E2407B">
      <w:pPr>
        <w:tabs>
          <w:tab w:val="left" w:pos="6120"/>
        </w:tabs>
        <w:spacing w:after="100" w:line="360" w:lineRule="auto"/>
        <w:rPr>
          <w:rFonts w:eastAsia="Arial" w:cs="Arial"/>
          <w:i/>
          <w:sz w:val="24"/>
          <w:szCs w:val="24"/>
        </w:rPr>
      </w:pPr>
      <w:r w:rsidRPr="00E2407B">
        <w:rPr>
          <w:rFonts w:eastAsia="Arial" w:cs="Arial"/>
          <w:b/>
          <w:i/>
          <w:sz w:val="24"/>
          <w:szCs w:val="24"/>
        </w:rPr>
        <w:t>Histology</w:t>
      </w:r>
    </w:p>
    <w:p w14:paraId="30CE9F0C" w14:textId="0D6B0E43" w:rsidR="00720511" w:rsidRPr="00E2407B" w:rsidRDefault="00942B2B" w:rsidP="00E2407B">
      <w:pPr>
        <w:spacing w:line="360" w:lineRule="auto"/>
        <w:rPr>
          <w:rFonts w:eastAsia="Arial" w:cs="Arial"/>
          <w:sz w:val="24"/>
          <w:szCs w:val="24"/>
        </w:rPr>
      </w:pPr>
      <w:r w:rsidRPr="00E2407B">
        <w:rPr>
          <w:rFonts w:eastAsia="Arial" w:cs="Arial"/>
          <w:sz w:val="24"/>
          <w:szCs w:val="24"/>
        </w:rPr>
        <w:t>Tissues were removed from Ussing chambers, fixed in neutral buffered formalin (10% v/v) for 24 h, processed for embedding in paraffin wax, and sectioned (5 µm)  on a microtome (Leica Leitz 1512; GMI, USA). Sections were mounted on adhesive coated slides and stained with alcian blue/neutral red or haem</w:t>
      </w:r>
      <w:r w:rsidR="00322A61">
        <w:rPr>
          <w:rFonts w:eastAsia="Arial" w:cs="Arial"/>
          <w:sz w:val="24"/>
          <w:szCs w:val="24"/>
        </w:rPr>
        <w:t>a</w:t>
      </w:r>
      <w:r w:rsidRPr="00E2407B">
        <w:rPr>
          <w:rFonts w:eastAsia="Arial" w:cs="Arial"/>
          <w:sz w:val="24"/>
          <w:szCs w:val="24"/>
        </w:rPr>
        <w:t>to</w:t>
      </w:r>
      <w:r w:rsidR="00322A61">
        <w:rPr>
          <w:rFonts w:eastAsia="Arial" w:cs="Arial"/>
          <w:sz w:val="24"/>
          <w:szCs w:val="24"/>
        </w:rPr>
        <w:t>x</w:t>
      </w:r>
      <w:r w:rsidRPr="00E2407B">
        <w:rPr>
          <w:rFonts w:eastAsia="Arial" w:cs="Arial"/>
          <w:sz w:val="24"/>
          <w:szCs w:val="24"/>
        </w:rPr>
        <w:t>ylin/eosin (H&amp;E). Specimens were then visualised by light microscopy (Lobophot-2; Nikon®, Japan). Images were captured electronically using an interfaced camera (MicroPublisher® 3.3; QImaging, Canada) and processing software (Image-Pro® Plus 6; Media Cybernetics, USA).</w:t>
      </w:r>
    </w:p>
    <w:p w14:paraId="01B84B28" w14:textId="77777777" w:rsidR="00720511" w:rsidRPr="00E2407B" w:rsidRDefault="00942B2B" w:rsidP="00E2407B">
      <w:pPr>
        <w:pStyle w:val="Heading6"/>
        <w:spacing w:line="360" w:lineRule="auto"/>
        <w:rPr>
          <w:rFonts w:ascii="Times New Roman" w:hAnsi="Times New Roman"/>
          <w:i/>
        </w:rPr>
      </w:pPr>
      <w:r w:rsidRPr="00E2407B">
        <w:rPr>
          <w:rFonts w:ascii="Times New Roman" w:hAnsi="Times New Roman"/>
          <w:i/>
        </w:rPr>
        <w:t>Statistical analysis</w:t>
      </w:r>
    </w:p>
    <w:p w14:paraId="1627FA90" w14:textId="77777777" w:rsidR="00720511" w:rsidRDefault="00942B2B" w:rsidP="00E2407B">
      <w:pPr>
        <w:spacing w:line="360" w:lineRule="auto"/>
        <w:rPr>
          <w:rFonts w:eastAsia="Arial" w:cs="Arial"/>
          <w:sz w:val="24"/>
          <w:szCs w:val="24"/>
        </w:rPr>
      </w:pPr>
      <w:r w:rsidRPr="00E2407B">
        <w:rPr>
          <w:rFonts w:eastAsia="Arial" w:cs="Arial"/>
          <w:sz w:val="24"/>
          <w:szCs w:val="24"/>
        </w:rPr>
        <w:t>Unless otherwise stated, all values are expressed as the mean ± SEM of three independent experiments. Statistical analysis of TEER and CCh-induced I</w:t>
      </w:r>
      <w:r w:rsidRPr="00E2407B">
        <w:rPr>
          <w:rFonts w:eastAsia="Arial" w:cs="Arial"/>
          <w:sz w:val="24"/>
          <w:szCs w:val="24"/>
          <w:vertAlign w:val="subscript"/>
        </w:rPr>
        <w:t>sc</w:t>
      </w:r>
      <w:r w:rsidRPr="00E2407B">
        <w:rPr>
          <w:rFonts w:eastAsia="Arial" w:cs="Arial"/>
          <w:sz w:val="24"/>
          <w:szCs w:val="24"/>
        </w:rPr>
        <w:t xml:space="preserve"> data was performed by two-way ANOVA with Bonferroni post-test. P</w:t>
      </w:r>
      <w:r w:rsidRPr="00E2407B">
        <w:rPr>
          <w:rFonts w:eastAsia="Arial" w:cs="Arial"/>
          <w:sz w:val="24"/>
          <w:szCs w:val="24"/>
          <w:vertAlign w:val="subscript"/>
        </w:rPr>
        <w:t>app</w:t>
      </w:r>
      <w:r w:rsidRPr="00E2407B">
        <w:rPr>
          <w:rFonts w:eastAsia="Arial" w:cs="Arial"/>
          <w:sz w:val="24"/>
          <w:szCs w:val="24"/>
        </w:rPr>
        <w:t xml:space="preserve"> values were analysed using one-way ANOVA with Dunnett post-test. All statistical analysis was carried out using GraphPad Prism® version 5.0 (USA).</w:t>
      </w:r>
    </w:p>
    <w:p w14:paraId="16C42AEA" w14:textId="77777777" w:rsidR="00443F08" w:rsidRPr="00E2407B" w:rsidRDefault="00443F08" w:rsidP="00E2407B">
      <w:pPr>
        <w:spacing w:line="360" w:lineRule="auto"/>
        <w:rPr>
          <w:rFonts w:eastAsia="Arial" w:cs="Arial"/>
          <w:sz w:val="24"/>
          <w:szCs w:val="24"/>
        </w:rPr>
      </w:pPr>
    </w:p>
    <w:p w14:paraId="7EAF1581" w14:textId="77777777" w:rsidR="00720511" w:rsidRPr="00E2407B" w:rsidRDefault="00942B2B" w:rsidP="00E2407B">
      <w:pPr>
        <w:tabs>
          <w:tab w:val="left" w:pos="1752"/>
        </w:tabs>
        <w:spacing w:after="0" w:line="360" w:lineRule="auto"/>
        <w:rPr>
          <w:rFonts w:eastAsia="Arial" w:cs="Arial"/>
          <w:b/>
          <w:sz w:val="24"/>
          <w:szCs w:val="24"/>
        </w:rPr>
      </w:pPr>
      <w:r w:rsidRPr="00E2407B">
        <w:rPr>
          <w:rFonts w:eastAsia="Arial" w:cs="Arial"/>
          <w:b/>
          <w:sz w:val="24"/>
          <w:szCs w:val="24"/>
        </w:rPr>
        <w:t>RESULTS</w:t>
      </w:r>
    </w:p>
    <w:p w14:paraId="1DD8EACB" w14:textId="77777777" w:rsidR="00720511" w:rsidRPr="00E2407B" w:rsidRDefault="00942B2B" w:rsidP="00E2407B">
      <w:pPr>
        <w:spacing w:line="360" w:lineRule="auto"/>
        <w:rPr>
          <w:rFonts w:eastAsia="Arial" w:cs="Arial"/>
          <w:b/>
          <w:i/>
          <w:sz w:val="24"/>
          <w:szCs w:val="24"/>
        </w:rPr>
      </w:pPr>
      <w:r w:rsidRPr="00E2407B">
        <w:rPr>
          <w:rFonts w:eastAsia="Arial" w:cs="Arial"/>
          <w:b/>
          <w:i/>
          <w:sz w:val="24"/>
          <w:szCs w:val="24"/>
        </w:rPr>
        <w:t>Effect of combinations of Labrasol® and MCFAs on TEER and P</w:t>
      </w:r>
      <w:r w:rsidRPr="00E2407B">
        <w:rPr>
          <w:rFonts w:eastAsia="Arial" w:cs="Arial"/>
          <w:b/>
          <w:i/>
          <w:sz w:val="24"/>
          <w:szCs w:val="24"/>
          <w:vertAlign w:val="subscript"/>
        </w:rPr>
        <w:t>app</w:t>
      </w:r>
      <w:r w:rsidRPr="00E2407B">
        <w:rPr>
          <w:rFonts w:eastAsia="Arial" w:cs="Arial"/>
          <w:b/>
          <w:i/>
          <w:sz w:val="24"/>
          <w:szCs w:val="24"/>
        </w:rPr>
        <w:t xml:space="preserve"> of FD4 in isolated rat colonic mucosae</w:t>
      </w:r>
    </w:p>
    <w:p w14:paraId="25B41F6D" w14:textId="77777777" w:rsidR="00720511" w:rsidRPr="00E2407B" w:rsidRDefault="00942B2B" w:rsidP="00E2407B">
      <w:pPr>
        <w:shd w:val="clear" w:color="auto" w:fill="FFFFFF"/>
        <w:spacing w:line="360" w:lineRule="auto"/>
        <w:rPr>
          <w:rFonts w:eastAsia="Arial" w:cs="Arial"/>
          <w:sz w:val="24"/>
          <w:szCs w:val="24"/>
        </w:rPr>
      </w:pPr>
      <w:r w:rsidRPr="00E2407B">
        <w:rPr>
          <w:rFonts w:eastAsia="Arial" w:cs="Arial"/>
          <w:sz w:val="24"/>
          <w:szCs w:val="24"/>
        </w:rPr>
        <w:t>The average baseline TEER values were 143 ± 4.6 Ω /cm</w:t>
      </w:r>
      <w:r w:rsidRPr="00E2407B">
        <w:rPr>
          <w:rFonts w:eastAsia="Arial" w:cs="Arial"/>
          <w:sz w:val="24"/>
          <w:szCs w:val="24"/>
          <w:vertAlign w:val="superscript"/>
        </w:rPr>
        <w:t>2</w:t>
      </w:r>
      <w:r w:rsidRPr="00E2407B">
        <w:rPr>
          <w:rFonts w:eastAsia="Arial" w:cs="Arial"/>
          <w:sz w:val="24"/>
          <w:szCs w:val="24"/>
        </w:rPr>
        <w:t xml:space="preserve"> (n = 76). These values were consistent with published data [</w:t>
      </w:r>
      <w:hyperlink w:anchor="_1pxezwc">
        <w:r w:rsidRPr="00033581">
          <w:rPr>
            <w:rFonts w:eastAsia="Arial" w:cs="Arial"/>
            <w:sz w:val="24"/>
            <w:szCs w:val="24"/>
          </w:rPr>
          <w:t>28</w:t>
        </w:r>
      </w:hyperlink>
      <w:r w:rsidRPr="00E2407B">
        <w:rPr>
          <w:rFonts w:eastAsia="Arial" w:cs="Arial"/>
          <w:sz w:val="24"/>
          <w:szCs w:val="24"/>
        </w:rPr>
        <w:t>]. Apical addition of 1 mg/mL Labrasol®, 0.5 mg/mL C</w:t>
      </w:r>
      <w:r w:rsidRPr="00E2407B">
        <w:rPr>
          <w:rFonts w:eastAsia="Arial" w:cs="Arial"/>
          <w:sz w:val="24"/>
          <w:szCs w:val="24"/>
          <w:vertAlign w:val="subscript"/>
        </w:rPr>
        <w:t>10</w:t>
      </w:r>
      <w:r w:rsidRPr="00E2407B">
        <w:rPr>
          <w:rFonts w:eastAsia="Arial" w:cs="Arial"/>
          <w:sz w:val="24"/>
          <w:szCs w:val="24"/>
        </w:rPr>
        <w:t> (Fig. 1A), 0.5 mg/mL C</w:t>
      </w:r>
      <w:r w:rsidRPr="00E2407B">
        <w:rPr>
          <w:rFonts w:eastAsia="Arial" w:cs="Arial"/>
          <w:sz w:val="24"/>
          <w:szCs w:val="24"/>
          <w:vertAlign w:val="subscript"/>
        </w:rPr>
        <w:t>11:1</w:t>
      </w:r>
      <w:r w:rsidRPr="00E2407B">
        <w:rPr>
          <w:rFonts w:eastAsia="Arial" w:cs="Arial"/>
          <w:sz w:val="24"/>
          <w:szCs w:val="24"/>
        </w:rPr>
        <w:t> (Fig. 1 D) and 0.2 g/mL C</w:t>
      </w:r>
      <w:r w:rsidRPr="00E2407B">
        <w:rPr>
          <w:rFonts w:eastAsia="Arial" w:cs="Arial"/>
          <w:sz w:val="24"/>
          <w:szCs w:val="24"/>
          <w:vertAlign w:val="subscript"/>
        </w:rPr>
        <w:t>12</w:t>
      </w:r>
      <w:r w:rsidRPr="00E2407B">
        <w:rPr>
          <w:rFonts w:eastAsia="Arial" w:cs="Arial"/>
          <w:sz w:val="24"/>
          <w:szCs w:val="24"/>
        </w:rPr>
        <w:t> (Fig. 1G) did not reduce TEER in rat colonic mucosae over 120 min. However, higher concentrations of C</w:t>
      </w:r>
      <w:r w:rsidRPr="00E2407B">
        <w:rPr>
          <w:rFonts w:eastAsia="Arial" w:cs="Arial"/>
          <w:sz w:val="24"/>
          <w:szCs w:val="24"/>
          <w:vertAlign w:val="subscript"/>
        </w:rPr>
        <w:t>10</w:t>
      </w:r>
      <w:r w:rsidRPr="00E2407B">
        <w:rPr>
          <w:rFonts w:eastAsia="Arial" w:cs="Arial"/>
          <w:sz w:val="24"/>
          <w:szCs w:val="24"/>
        </w:rPr>
        <w:t> (0.8-1 mg/mL, Fig. 1B and 1C), C</w:t>
      </w:r>
      <w:r w:rsidRPr="00E2407B">
        <w:rPr>
          <w:rFonts w:eastAsia="Arial" w:cs="Arial"/>
          <w:sz w:val="24"/>
          <w:szCs w:val="24"/>
          <w:vertAlign w:val="subscript"/>
        </w:rPr>
        <w:t>11:1</w:t>
      </w:r>
      <w:r w:rsidRPr="00E2407B">
        <w:rPr>
          <w:rFonts w:eastAsia="Arial" w:cs="Arial"/>
          <w:sz w:val="24"/>
          <w:szCs w:val="24"/>
        </w:rPr>
        <w:t> (0.8-1 mg/mL, Figs. 1 E and F) and C</w:t>
      </w:r>
      <w:r w:rsidRPr="00E2407B">
        <w:rPr>
          <w:rFonts w:eastAsia="Arial" w:cs="Arial"/>
          <w:sz w:val="24"/>
          <w:szCs w:val="24"/>
          <w:vertAlign w:val="subscript"/>
        </w:rPr>
        <w:t>12</w:t>
      </w:r>
      <w:r w:rsidRPr="00E2407B">
        <w:rPr>
          <w:rFonts w:eastAsia="Arial" w:cs="Arial"/>
          <w:sz w:val="24"/>
          <w:szCs w:val="24"/>
        </w:rPr>
        <w:t xml:space="preserve"> (0.4 mg/mL, Fig. 1H) caused a 50-80% reduction in TEER. There was a decrease in TEER in the presence of Labrasol® + C</w:t>
      </w:r>
      <w:r w:rsidRPr="00E2407B">
        <w:rPr>
          <w:rFonts w:eastAsia="Arial" w:cs="Arial"/>
          <w:sz w:val="24"/>
          <w:szCs w:val="24"/>
          <w:vertAlign w:val="subscript"/>
        </w:rPr>
        <w:t>10</w:t>
      </w:r>
      <w:r w:rsidRPr="00E2407B">
        <w:rPr>
          <w:rFonts w:eastAsia="Arial" w:cs="Arial"/>
          <w:sz w:val="24"/>
          <w:szCs w:val="24"/>
        </w:rPr>
        <w:t> (Fig. 1A-C), Labrasol® + C</w:t>
      </w:r>
      <w:r w:rsidRPr="00E2407B">
        <w:rPr>
          <w:rFonts w:eastAsia="Arial" w:cs="Arial"/>
          <w:sz w:val="24"/>
          <w:szCs w:val="24"/>
          <w:vertAlign w:val="subscript"/>
        </w:rPr>
        <w:t>11:1</w:t>
      </w:r>
      <w:r w:rsidRPr="00E2407B">
        <w:rPr>
          <w:rFonts w:eastAsia="Arial" w:cs="Arial"/>
          <w:sz w:val="24"/>
          <w:szCs w:val="24"/>
        </w:rPr>
        <w:t> (Fig. 1 D-F) and Labrasol® + C</w:t>
      </w:r>
      <w:r w:rsidRPr="00E2407B">
        <w:rPr>
          <w:rFonts w:eastAsia="Arial" w:cs="Arial"/>
          <w:sz w:val="24"/>
          <w:szCs w:val="24"/>
          <w:vertAlign w:val="subscript"/>
        </w:rPr>
        <w:t>12</w:t>
      </w:r>
      <w:r w:rsidRPr="00E2407B">
        <w:rPr>
          <w:rFonts w:eastAsia="Arial" w:cs="Arial"/>
          <w:sz w:val="24"/>
          <w:szCs w:val="24"/>
        </w:rPr>
        <w:t> (Fig. G-H). This decreased was dependent on the concentration of the MCFA in each combination. TEER reductions following 1 h incubation of Labrasol® with the lowest concentration of each MCFA were </w:t>
      </w:r>
      <w:r w:rsidRPr="00E2407B">
        <w:rPr>
          <w:rFonts w:eastAsia="Arial" w:cs="Arial"/>
          <w:color w:val="222222"/>
          <w:sz w:val="24"/>
          <w:szCs w:val="24"/>
        </w:rPr>
        <w:t>C</w:t>
      </w:r>
      <w:r w:rsidRPr="00E2407B">
        <w:rPr>
          <w:rFonts w:eastAsia="Arial" w:cs="Arial"/>
          <w:color w:val="222222"/>
          <w:sz w:val="24"/>
          <w:szCs w:val="24"/>
          <w:vertAlign w:val="subscript"/>
        </w:rPr>
        <w:t>10</w:t>
      </w:r>
      <w:r w:rsidRPr="00E2407B">
        <w:rPr>
          <w:rFonts w:eastAsia="Arial" w:cs="Arial"/>
          <w:sz w:val="24"/>
          <w:szCs w:val="24"/>
        </w:rPr>
        <w:t> (0.5 mg/mL, 50%), C</w:t>
      </w:r>
      <w:r w:rsidRPr="00E2407B">
        <w:rPr>
          <w:rFonts w:eastAsia="Arial" w:cs="Arial"/>
          <w:sz w:val="24"/>
          <w:szCs w:val="24"/>
          <w:vertAlign w:val="subscript"/>
        </w:rPr>
        <w:t>11:1</w:t>
      </w:r>
      <w:r w:rsidRPr="00E2407B">
        <w:rPr>
          <w:rFonts w:eastAsia="Arial" w:cs="Arial"/>
          <w:sz w:val="24"/>
          <w:szCs w:val="24"/>
        </w:rPr>
        <w:t xml:space="preserve"> (0.5 mg/mL, 74%) and C</w:t>
      </w:r>
      <w:r w:rsidRPr="00E2407B">
        <w:rPr>
          <w:rFonts w:eastAsia="Arial" w:cs="Arial"/>
          <w:sz w:val="24"/>
          <w:szCs w:val="24"/>
          <w:vertAlign w:val="subscript"/>
        </w:rPr>
        <w:t>12</w:t>
      </w:r>
      <w:r w:rsidRPr="00E2407B">
        <w:rPr>
          <w:rFonts w:eastAsia="Arial" w:cs="Arial"/>
          <w:sz w:val="24"/>
          <w:szCs w:val="24"/>
        </w:rPr>
        <w:t xml:space="preserve"> (0.2 mg/mL, 75%), a difference of 26%, 57%, and 40% compared to each respective MCFA alone.</w:t>
      </w:r>
      <w:r w:rsidR="001163AC">
        <w:rPr>
          <w:rFonts w:eastAsia="Arial" w:cs="Arial"/>
          <w:sz w:val="24"/>
          <w:szCs w:val="24"/>
        </w:rPr>
        <w:t xml:space="preserve"> In sum, </w:t>
      </w:r>
      <w:r w:rsidR="001163AC">
        <w:rPr>
          <w:rFonts w:eastAsia="Arial" w:cs="Arial"/>
          <w:sz w:val="24"/>
          <w:szCs w:val="24"/>
        </w:rPr>
        <w:lastRenderedPageBreak/>
        <w:t>Labrasol</w:t>
      </w:r>
      <w:r w:rsidR="001163AC">
        <w:rPr>
          <w:rFonts w:eastAsia="Arial"/>
          <w:sz w:val="24"/>
          <w:szCs w:val="24"/>
        </w:rPr>
        <w:t>®</w:t>
      </w:r>
      <w:r w:rsidR="001163AC">
        <w:rPr>
          <w:rFonts w:eastAsia="Arial" w:cs="Arial"/>
          <w:sz w:val="24"/>
          <w:szCs w:val="24"/>
        </w:rPr>
        <w:t xml:space="preserve"> ad-mixed with MCFA reduced TEER, whereas these same concentrations of Labrasol</w:t>
      </w:r>
      <w:r w:rsidR="001163AC">
        <w:rPr>
          <w:rFonts w:eastAsia="Arial"/>
          <w:sz w:val="24"/>
          <w:szCs w:val="24"/>
        </w:rPr>
        <w:t>®</w:t>
      </w:r>
      <w:r w:rsidR="001163AC">
        <w:rPr>
          <w:rFonts w:eastAsia="Arial" w:cs="Arial"/>
          <w:sz w:val="24"/>
          <w:szCs w:val="24"/>
        </w:rPr>
        <w:t xml:space="preserve"> and MCFA had no effect when added in isolation. </w:t>
      </w:r>
    </w:p>
    <w:p w14:paraId="7CB6CA40" w14:textId="60DB2A79" w:rsidR="001F3150" w:rsidRDefault="00942B2B" w:rsidP="007E40D5">
      <w:pPr>
        <w:shd w:val="clear" w:color="auto" w:fill="FFFFFF"/>
        <w:spacing w:line="360" w:lineRule="auto"/>
        <w:rPr>
          <w:rFonts w:eastAsia="Arial" w:cs="Arial"/>
          <w:sz w:val="24"/>
          <w:szCs w:val="24"/>
        </w:rPr>
      </w:pPr>
      <w:r w:rsidRPr="00E2407B">
        <w:rPr>
          <w:rFonts w:eastAsia="Arial" w:cs="Arial"/>
          <w:sz w:val="24"/>
          <w:szCs w:val="24"/>
        </w:rPr>
        <w:t>The average P</w:t>
      </w:r>
      <w:r w:rsidRPr="00E2407B">
        <w:rPr>
          <w:rFonts w:eastAsia="Arial" w:cs="Arial"/>
          <w:sz w:val="24"/>
          <w:szCs w:val="24"/>
          <w:vertAlign w:val="subscript"/>
        </w:rPr>
        <w:t>app</w:t>
      </w:r>
      <w:r w:rsidRPr="00E2407B">
        <w:rPr>
          <w:rFonts w:eastAsia="Arial" w:cs="Arial"/>
          <w:sz w:val="24"/>
          <w:szCs w:val="24"/>
        </w:rPr>
        <w:t xml:space="preserve"> of FD4 was 0.37 ± 0.05 × 10</w:t>
      </w:r>
      <w:r w:rsidRPr="00E2407B">
        <w:rPr>
          <w:rFonts w:eastAsia="Arial" w:cs="Arial"/>
          <w:sz w:val="24"/>
          <w:szCs w:val="24"/>
          <w:vertAlign w:val="superscript"/>
        </w:rPr>
        <w:t>-6</w:t>
      </w:r>
      <w:r w:rsidRPr="00E2407B">
        <w:rPr>
          <w:rFonts w:eastAsia="Arial" w:cs="Arial"/>
          <w:sz w:val="24"/>
          <w:szCs w:val="24"/>
        </w:rPr>
        <w:t xml:space="preserve"> cm/s (n = 20), consistent with published values [</w:t>
      </w:r>
      <w:hyperlink w:anchor="_23ckvvd">
        <w:r w:rsidRPr="00033581">
          <w:rPr>
            <w:rFonts w:eastAsia="Arial" w:cs="Arial"/>
            <w:sz w:val="24"/>
            <w:szCs w:val="24"/>
          </w:rPr>
          <w:t>33</w:t>
        </w:r>
      </w:hyperlink>
      <w:r w:rsidRPr="00E2407B">
        <w:rPr>
          <w:rFonts w:eastAsia="Arial" w:cs="Arial"/>
          <w:sz w:val="24"/>
          <w:szCs w:val="24"/>
        </w:rPr>
        <w:t>].</w:t>
      </w:r>
      <w:r w:rsidRPr="00E2407B">
        <w:rPr>
          <w:rFonts w:eastAsia="Arial Unicode MS" w:cs="Arial Unicode MS"/>
          <w:sz w:val="24"/>
          <w:szCs w:val="24"/>
        </w:rPr>
        <w:t xml:space="preserve"> Treatments that reduced TEER by ≥50%</w:t>
      </w:r>
      <w:r w:rsidR="00781354" w:rsidRPr="00E2407B">
        <w:rPr>
          <w:rFonts w:eastAsia="Arial Unicode MS" w:cs="Arial Unicode MS"/>
          <w:sz w:val="24"/>
          <w:szCs w:val="24"/>
        </w:rPr>
        <w:t xml:space="preserve"> also</w:t>
      </w:r>
      <w:r w:rsidRPr="00E2407B">
        <w:rPr>
          <w:rFonts w:eastAsia="Arial Unicode MS" w:cs="Arial Unicode MS"/>
          <w:sz w:val="24"/>
          <w:szCs w:val="24"/>
        </w:rPr>
        <w:t xml:space="preserve"> increased P</w:t>
      </w:r>
      <w:r w:rsidRPr="00E2407B">
        <w:rPr>
          <w:rFonts w:eastAsia="Arial" w:cs="Arial"/>
          <w:sz w:val="24"/>
          <w:szCs w:val="24"/>
          <w:vertAlign w:val="subscript"/>
        </w:rPr>
        <w:t>app</w:t>
      </w:r>
      <w:r w:rsidRPr="00E2407B">
        <w:rPr>
          <w:rFonts w:eastAsia="Arial Unicode MS" w:cs="Arial Unicode MS"/>
          <w:sz w:val="24"/>
          <w:szCs w:val="24"/>
        </w:rPr>
        <w:t xml:space="preserve"> of FD4 by ≥ 2-fold (Fig. 1, </w:t>
      </w:r>
      <w:r w:rsidR="0047629D">
        <w:rPr>
          <w:rFonts w:eastAsia="Arial Unicode MS" w:cs="Arial Unicode MS"/>
          <w:sz w:val="24"/>
          <w:szCs w:val="24"/>
        </w:rPr>
        <w:t>Fig</w:t>
      </w:r>
      <w:r w:rsidR="00D11D4F">
        <w:rPr>
          <w:rFonts w:eastAsia="Arial Unicode MS" w:cs="Arial Unicode MS"/>
          <w:sz w:val="24"/>
          <w:szCs w:val="24"/>
        </w:rPr>
        <w:t>.</w:t>
      </w:r>
      <w:r w:rsidR="0047629D">
        <w:rPr>
          <w:rFonts w:eastAsia="Arial Unicode MS" w:cs="Arial Unicode MS"/>
          <w:sz w:val="24"/>
          <w:szCs w:val="24"/>
        </w:rPr>
        <w:t xml:space="preserve"> 2</w:t>
      </w:r>
      <w:r w:rsidRPr="00E2407B">
        <w:rPr>
          <w:rFonts w:eastAsia="Arial Unicode MS" w:cs="Arial Unicode MS"/>
          <w:sz w:val="24"/>
          <w:szCs w:val="24"/>
        </w:rPr>
        <w:t>). Labrasol®, C</w:t>
      </w:r>
      <w:r w:rsidRPr="00E2407B">
        <w:rPr>
          <w:rFonts w:eastAsia="Arial" w:cs="Arial"/>
          <w:sz w:val="24"/>
          <w:szCs w:val="24"/>
          <w:vertAlign w:val="subscript"/>
        </w:rPr>
        <w:t>10</w:t>
      </w:r>
      <w:r w:rsidRPr="00E2407B">
        <w:rPr>
          <w:rFonts w:eastAsia="Arial" w:cs="Arial"/>
          <w:sz w:val="24"/>
          <w:szCs w:val="24"/>
        </w:rPr>
        <w:t>, and C</w:t>
      </w:r>
      <w:r w:rsidRPr="00E2407B">
        <w:rPr>
          <w:rFonts w:eastAsia="Arial" w:cs="Arial"/>
          <w:sz w:val="24"/>
          <w:szCs w:val="24"/>
          <w:vertAlign w:val="subscript"/>
        </w:rPr>
        <w:t>12</w:t>
      </w:r>
      <w:r w:rsidRPr="00E2407B">
        <w:rPr>
          <w:rFonts w:eastAsia="Arial" w:cs="Arial"/>
          <w:sz w:val="24"/>
          <w:szCs w:val="24"/>
        </w:rPr>
        <w:t xml:space="preserve"> did not</w:t>
      </w:r>
      <w:r w:rsidR="00D11D4F">
        <w:rPr>
          <w:rFonts w:eastAsia="Arial" w:cs="Arial"/>
          <w:sz w:val="24"/>
          <w:szCs w:val="24"/>
        </w:rPr>
        <w:t xml:space="preserve"> statistically</w:t>
      </w:r>
      <w:r w:rsidRPr="00E2407B">
        <w:rPr>
          <w:rFonts w:eastAsia="Arial" w:cs="Arial"/>
          <w:sz w:val="24"/>
          <w:szCs w:val="24"/>
        </w:rPr>
        <w:t xml:space="preserve"> increase the P</w:t>
      </w:r>
      <w:r w:rsidRPr="00E2407B">
        <w:rPr>
          <w:rFonts w:eastAsia="Arial" w:cs="Arial"/>
          <w:sz w:val="24"/>
          <w:szCs w:val="24"/>
          <w:vertAlign w:val="subscript"/>
        </w:rPr>
        <w:t>app</w:t>
      </w:r>
      <w:r w:rsidRPr="00E2407B">
        <w:rPr>
          <w:rFonts w:eastAsia="Arial" w:cs="Arial"/>
          <w:sz w:val="24"/>
          <w:szCs w:val="24"/>
        </w:rPr>
        <w:t xml:space="preserve"> of FD4 at </w:t>
      </w:r>
      <w:r w:rsidR="008923F3">
        <w:rPr>
          <w:rFonts w:eastAsia="Arial" w:cs="Arial"/>
          <w:sz w:val="24"/>
          <w:szCs w:val="24"/>
        </w:rPr>
        <w:t>any of the selected</w:t>
      </w:r>
      <w:r w:rsidR="008923F3" w:rsidRPr="00E2407B">
        <w:rPr>
          <w:rFonts w:eastAsia="Arial" w:cs="Arial"/>
          <w:sz w:val="24"/>
          <w:szCs w:val="24"/>
        </w:rPr>
        <w:t xml:space="preserve"> </w:t>
      </w:r>
      <w:r w:rsidRPr="00E2407B">
        <w:rPr>
          <w:rFonts w:eastAsia="Arial" w:cs="Arial"/>
          <w:sz w:val="24"/>
          <w:szCs w:val="24"/>
        </w:rPr>
        <w:t>concentrations tested</w:t>
      </w:r>
      <w:r w:rsidR="008923F3">
        <w:rPr>
          <w:rFonts w:eastAsia="Arial" w:cs="Arial"/>
          <w:sz w:val="24"/>
          <w:szCs w:val="24"/>
        </w:rPr>
        <w:t>, although trends were apparent</w:t>
      </w:r>
      <w:r w:rsidR="005C539D">
        <w:rPr>
          <w:rFonts w:eastAsia="Arial" w:cs="Arial"/>
          <w:sz w:val="24"/>
          <w:szCs w:val="24"/>
        </w:rPr>
        <w:t xml:space="preserve"> </w:t>
      </w:r>
      <w:r w:rsidRPr="00E2407B">
        <w:rPr>
          <w:rFonts w:eastAsia="Arial" w:cs="Arial"/>
          <w:sz w:val="24"/>
          <w:szCs w:val="24"/>
        </w:rPr>
        <w:t>(</w:t>
      </w:r>
      <w:r w:rsidR="0047629D">
        <w:rPr>
          <w:rFonts w:eastAsia="Arial" w:cs="Arial"/>
          <w:sz w:val="24"/>
          <w:szCs w:val="24"/>
        </w:rPr>
        <w:t>Fig</w:t>
      </w:r>
      <w:r w:rsidR="00D11D4F">
        <w:rPr>
          <w:rFonts w:eastAsia="Arial" w:cs="Arial"/>
          <w:sz w:val="24"/>
          <w:szCs w:val="24"/>
        </w:rPr>
        <w:t>.</w:t>
      </w:r>
      <w:r w:rsidR="0047629D">
        <w:rPr>
          <w:rFonts w:eastAsia="Arial" w:cs="Arial"/>
          <w:sz w:val="24"/>
          <w:szCs w:val="24"/>
        </w:rPr>
        <w:t xml:space="preserve"> 2</w:t>
      </w:r>
      <w:r w:rsidRPr="00E2407B">
        <w:rPr>
          <w:rFonts w:eastAsia="Arial" w:cs="Arial"/>
          <w:sz w:val="24"/>
          <w:szCs w:val="24"/>
        </w:rPr>
        <w:t>). C</w:t>
      </w:r>
      <w:r w:rsidRPr="00E2407B">
        <w:rPr>
          <w:rFonts w:eastAsia="Arial" w:cs="Arial"/>
          <w:sz w:val="24"/>
          <w:szCs w:val="24"/>
          <w:vertAlign w:val="subscript"/>
        </w:rPr>
        <w:t>11:1</w:t>
      </w:r>
      <w:r w:rsidRPr="00E2407B">
        <w:rPr>
          <w:rFonts w:eastAsia="Arial" w:cs="Arial"/>
          <w:sz w:val="24"/>
          <w:szCs w:val="24"/>
        </w:rPr>
        <w:t xml:space="preserve"> induced a concentration-dependent increase in P</w:t>
      </w:r>
      <w:r w:rsidRPr="00E2407B">
        <w:rPr>
          <w:rFonts w:eastAsia="Arial" w:cs="Arial"/>
          <w:sz w:val="24"/>
          <w:szCs w:val="24"/>
          <w:vertAlign w:val="subscript"/>
        </w:rPr>
        <w:t>app</w:t>
      </w:r>
      <w:r w:rsidRPr="00E2407B">
        <w:rPr>
          <w:rFonts w:eastAsia="Arial" w:cs="Arial"/>
          <w:sz w:val="24"/>
          <w:szCs w:val="24"/>
        </w:rPr>
        <w:t xml:space="preserve"> of FD4, but only the highest concentration was</w:t>
      </w:r>
      <w:r w:rsidR="00781354" w:rsidRPr="00E2407B">
        <w:rPr>
          <w:rFonts w:eastAsia="Arial" w:cs="Arial"/>
          <w:sz w:val="24"/>
          <w:szCs w:val="24"/>
        </w:rPr>
        <w:t xml:space="preserve"> statistically</w:t>
      </w:r>
      <w:r w:rsidRPr="00E2407B">
        <w:rPr>
          <w:rFonts w:eastAsia="Arial" w:cs="Arial"/>
          <w:sz w:val="24"/>
          <w:szCs w:val="24"/>
        </w:rPr>
        <w:t xml:space="preserve"> significant (P&lt;0.001). The majority of </w:t>
      </w:r>
      <w:r w:rsidR="001163AC">
        <w:rPr>
          <w:rFonts w:eastAsia="Arial" w:cs="Arial"/>
          <w:sz w:val="24"/>
          <w:szCs w:val="24"/>
        </w:rPr>
        <w:t>ad-</w:t>
      </w:r>
      <w:r w:rsidRPr="00E2407B">
        <w:rPr>
          <w:rFonts w:eastAsia="Arial" w:cs="Arial"/>
          <w:sz w:val="24"/>
          <w:szCs w:val="24"/>
        </w:rPr>
        <w:t>mixtures containing Labrasol® and C</w:t>
      </w:r>
      <w:r w:rsidRPr="00E2407B">
        <w:rPr>
          <w:rFonts w:eastAsia="Arial" w:cs="Arial"/>
          <w:sz w:val="24"/>
          <w:szCs w:val="24"/>
          <w:vertAlign w:val="subscript"/>
        </w:rPr>
        <w:t>10</w:t>
      </w:r>
      <w:r w:rsidRPr="00E2407B">
        <w:rPr>
          <w:rFonts w:eastAsia="Arial" w:cs="Arial"/>
          <w:sz w:val="24"/>
          <w:szCs w:val="24"/>
        </w:rPr>
        <w:t>, C</w:t>
      </w:r>
      <w:r w:rsidRPr="00E2407B">
        <w:rPr>
          <w:rFonts w:eastAsia="Arial" w:cs="Arial"/>
          <w:sz w:val="24"/>
          <w:szCs w:val="24"/>
          <w:vertAlign w:val="subscript"/>
        </w:rPr>
        <w:t>11:1</w:t>
      </w:r>
      <w:r w:rsidRPr="00E2407B">
        <w:rPr>
          <w:rFonts w:eastAsia="Arial" w:cs="Arial"/>
          <w:sz w:val="24"/>
          <w:szCs w:val="24"/>
        </w:rPr>
        <w:t>, or C</w:t>
      </w:r>
      <w:r w:rsidRPr="00E2407B">
        <w:rPr>
          <w:rFonts w:eastAsia="Arial" w:cs="Arial"/>
          <w:sz w:val="24"/>
          <w:szCs w:val="24"/>
          <w:vertAlign w:val="subscript"/>
        </w:rPr>
        <w:t>12</w:t>
      </w:r>
      <w:r w:rsidRPr="00E2407B">
        <w:rPr>
          <w:rFonts w:eastAsia="Arial" w:cs="Arial"/>
          <w:sz w:val="24"/>
          <w:szCs w:val="24"/>
        </w:rPr>
        <w:t xml:space="preserve"> </w:t>
      </w:r>
      <w:r w:rsidR="001163AC">
        <w:rPr>
          <w:rFonts w:eastAsia="Arial" w:cs="Arial"/>
          <w:sz w:val="24"/>
          <w:szCs w:val="24"/>
        </w:rPr>
        <w:t xml:space="preserve">however, </w:t>
      </w:r>
      <w:r w:rsidRPr="00E2407B">
        <w:rPr>
          <w:rFonts w:eastAsia="Arial" w:cs="Arial"/>
          <w:sz w:val="24"/>
          <w:szCs w:val="24"/>
        </w:rPr>
        <w:t>increased the P</w:t>
      </w:r>
      <w:r w:rsidRPr="00E2407B">
        <w:rPr>
          <w:rFonts w:eastAsia="Arial" w:cs="Arial"/>
          <w:sz w:val="24"/>
          <w:szCs w:val="24"/>
          <w:vertAlign w:val="subscript"/>
        </w:rPr>
        <w:t>app</w:t>
      </w:r>
      <w:r w:rsidRPr="00E2407B">
        <w:rPr>
          <w:rFonts w:eastAsia="Arial" w:cs="Arial"/>
          <w:sz w:val="24"/>
          <w:szCs w:val="24"/>
        </w:rPr>
        <w:t xml:space="preserve"> values versus untreated controls, Labrasol®</w:t>
      </w:r>
      <w:r w:rsidR="001163AC">
        <w:rPr>
          <w:rFonts w:eastAsia="Arial" w:cs="Arial"/>
          <w:sz w:val="24"/>
          <w:szCs w:val="24"/>
        </w:rPr>
        <w:t xml:space="preserve"> itself</w:t>
      </w:r>
      <w:r w:rsidRPr="00E2407B">
        <w:rPr>
          <w:rFonts w:eastAsia="Arial" w:cs="Arial"/>
          <w:sz w:val="24"/>
          <w:szCs w:val="24"/>
        </w:rPr>
        <w:t>, and the respective MCFA (</w:t>
      </w:r>
      <w:r w:rsidR="0047629D">
        <w:rPr>
          <w:rFonts w:eastAsia="Arial" w:cs="Arial"/>
          <w:sz w:val="24"/>
          <w:szCs w:val="24"/>
        </w:rPr>
        <w:t>Fig 2</w:t>
      </w:r>
      <w:r w:rsidRPr="00E2407B">
        <w:rPr>
          <w:rFonts w:eastAsia="Arial" w:cs="Arial"/>
          <w:sz w:val="24"/>
          <w:szCs w:val="24"/>
        </w:rPr>
        <w:t>). Labrasol® (1 mg/mL) a</w:t>
      </w:r>
      <w:r w:rsidR="001163AC">
        <w:rPr>
          <w:rFonts w:eastAsia="Arial" w:cs="Arial"/>
          <w:sz w:val="24"/>
          <w:szCs w:val="24"/>
        </w:rPr>
        <w:t>d-mixed with</w:t>
      </w:r>
      <w:r w:rsidRPr="00E2407B">
        <w:rPr>
          <w:rFonts w:eastAsia="Arial" w:cs="Arial"/>
          <w:sz w:val="24"/>
          <w:szCs w:val="24"/>
        </w:rPr>
        <w:t xml:space="preserve"> C</w:t>
      </w:r>
      <w:r w:rsidRPr="00E2407B">
        <w:rPr>
          <w:rFonts w:eastAsia="Arial" w:cs="Arial"/>
          <w:sz w:val="24"/>
          <w:szCs w:val="24"/>
          <w:vertAlign w:val="subscript"/>
        </w:rPr>
        <w:t>10</w:t>
      </w:r>
      <w:r w:rsidRPr="00E2407B">
        <w:rPr>
          <w:rFonts w:eastAsia="Arial" w:cs="Arial"/>
          <w:sz w:val="24"/>
          <w:szCs w:val="24"/>
        </w:rPr>
        <w:t xml:space="preserve"> (0.5, 0.8 and 1 mg/mL) increased the P</w:t>
      </w:r>
      <w:r w:rsidRPr="00E2407B">
        <w:rPr>
          <w:rFonts w:eastAsia="Arial" w:cs="Arial"/>
          <w:sz w:val="24"/>
          <w:szCs w:val="24"/>
          <w:vertAlign w:val="subscript"/>
        </w:rPr>
        <w:t>app</w:t>
      </w:r>
      <w:r w:rsidRPr="00E2407B">
        <w:rPr>
          <w:rFonts w:eastAsia="Arial" w:cs="Arial"/>
          <w:sz w:val="24"/>
          <w:szCs w:val="24"/>
        </w:rPr>
        <w:t xml:space="preserve"> of FD4 by 4-, 6- (p&lt;0.001) and by 1.6- fold versus C</w:t>
      </w:r>
      <w:r w:rsidRPr="00E2407B">
        <w:rPr>
          <w:rFonts w:eastAsia="Arial" w:cs="Arial"/>
          <w:sz w:val="24"/>
          <w:szCs w:val="24"/>
          <w:vertAlign w:val="subscript"/>
        </w:rPr>
        <w:t>10</w:t>
      </w:r>
      <w:r w:rsidRPr="00E2407B">
        <w:rPr>
          <w:rFonts w:eastAsia="Arial" w:cs="Arial"/>
          <w:sz w:val="24"/>
          <w:szCs w:val="24"/>
        </w:rPr>
        <w:t xml:space="preserve"> </w:t>
      </w:r>
      <w:r w:rsidR="001163AC">
        <w:rPr>
          <w:rFonts w:eastAsia="Arial" w:cs="Arial"/>
          <w:sz w:val="24"/>
          <w:szCs w:val="24"/>
        </w:rPr>
        <w:t xml:space="preserve">alone </w:t>
      </w:r>
      <w:r w:rsidRPr="00E2407B">
        <w:rPr>
          <w:rFonts w:eastAsia="Arial" w:cs="Arial"/>
          <w:sz w:val="24"/>
          <w:szCs w:val="24"/>
        </w:rPr>
        <w:t>at the same three concentrations. In the case of C</w:t>
      </w:r>
      <w:r w:rsidRPr="00E2407B">
        <w:rPr>
          <w:rFonts w:eastAsia="Arial" w:cs="Arial"/>
          <w:sz w:val="24"/>
          <w:szCs w:val="24"/>
          <w:vertAlign w:val="subscript"/>
        </w:rPr>
        <w:t>11:1</w:t>
      </w:r>
      <w:r w:rsidRPr="00E2407B">
        <w:rPr>
          <w:rFonts w:eastAsia="Arial" w:cs="Arial"/>
          <w:sz w:val="24"/>
          <w:szCs w:val="24"/>
        </w:rPr>
        <w:t xml:space="preserve"> ad-mixed with Labrasol®, the P</w:t>
      </w:r>
      <w:r w:rsidRPr="00E2407B">
        <w:rPr>
          <w:rFonts w:eastAsia="Arial" w:cs="Arial"/>
          <w:sz w:val="24"/>
          <w:szCs w:val="24"/>
          <w:vertAlign w:val="subscript"/>
        </w:rPr>
        <w:t>app</w:t>
      </w:r>
      <w:r w:rsidRPr="00E2407B">
        <w:rPr>
          <w:rFonts w:eastAsia="Arial" w:cs="Arial"/>
          <w:sz w:val="24"/>
          <w:szCs w:val="24"/>
        </w:rPr>
        <w:t xml:space="preserve"> values were 11-fold (P&lt;0.05), 3-fold (P&lt;0.05) and 1.6- fold higher compared with C</w:t>
      </w:r>
      <w:r w:rsidRPr="00E2407B">
        <w:rPr>
          <w:rFonts w:eastAsia="Arial" w:cs="Arial"/>
          <w:sz w:val="24"/>
          <w:szCs w:val="24"/>
          <w:vertAlign w:val="subscript"/>
        </w:rPr>
        <w:t>11:1</w:t>
      </w:r>
      <w:r w:rsidRPr="00E2407B">
        <w:rPr>
          <w:rFonts w:eastAsia="Arial" w:cs="Arial"/>
          <w:sz w:val="24"/>
          <w:szCs w:val="24"/>
        </w:rPr>
        <w:t>.  For C</w:t>
      </w:r>
      <w:r w:rsidRPr="00E2407B">
        <w:rPr>
          <w:rFonts w:eastAsia="Arial" w:cs="Arial"/>
          <w:sz w:val="24"/>
          <w:szCs w:val="24"/>
          <w:vertAlign w:val="subscript"/>
        </w:rPr>
        <w:t>12</w:t>
      </w:r>
      <w:r w:rsidRPr="00E2407B">
        <w:rPr>
          <w:rFonts w:eastAsia="Arial" w:cs="Arial"/>
          <w:sz w:val="24"/>
          <w:szCs w:val="24"/>
        </w:rPr>
        <w:t xml:space="preserve"> there was a 3- to 7.6- (P&lt;0.001) fold increase with the ad-mixture versus C</w:t>
      </w:r>
      <w:r w:rsidRPr="00E2407B">
        <w:rPr>
          <w:rFonts w:eastAsia="Arial" w:cs="Arial"/>
          <w:sz w:val="24"/>
          <w:szCs w:val="24"/>
          <w:vertAlign w:val="subscript"/>
        </w:rPr>
        <w:t>12</w:t>
      </w:r>
      <w:r w:rsidRPr="00E2407B">
        <w:rPr>
          <w:rFonts w:eastAsia="Arial" w:cs="Arial"/>
          <w:sz w:val="24"/>
          <w:szCs w:val="24"/>
        </w:rPr>
        <w:t xml:space="preserve"> alone. The P</w:t>
      </w:r>
      <w:r w:rsidRPr="00E2407B">
        <w:rPr>
          <w:rFonts w:eastAsia="Arial" w:cs="Arial"/>
          <w:sz w:val="24"/>
          <w:szCs w:val="24"/>
          <w:vertAlign w:val="subscript"/>
        </w:rPr>
        <w:t>app</w:t>
      </w:r>
      <w:r w:rsidRPr="00E2407B">
        <w:rPr>
          <w:rFonts w:eastAsia="Arial" w:cs="Arial"/>
          <w:sz w:val="24"/>
          <w:szCs w:val="24"/>
        </w:rPr>
        <w:t xml:space="preserve"> values for binary mixtures of Labrasol® (1 mg/mL) with the highest test concentration of MCFA followed the order: Labrasol® and C</w:t>
      </w:r>
      <w:r w:rsidRPr="00E2407B">
        <w:rPr>
          <w:rFonts w:eastAsia="Arial" w:cs="Arial"/>
          <w:sz w:val="24"/>
          <w:szCs w:val="24"/>
          <w:vertAlign w:val="subscript"/>
        </w:rPr>
        <w:t>11:1</w:t>
      </w:r>
      <w:r w:rsidRPr="00E2407B">
        <w:rPr>
          <w:rFonts w:eastAsia="Arial" w:cs="Arial"/>
          <w:sz w:val="24"/>
          <w:szCs w:val="24"/>
        </w:rPr>
        <w:t xml:space="preserve"> (1 mg/mL) &gt; Labrasol® and C</w:t>
      </w:r>
      <w:r w:rsidRPr="00E2407B">
        <w:rPr>
          <w:rFonts w:eastAsia="Arial" w:cs="Arial"/>
          <w:sz w:val="24"/>
          <w:szCs w:val="24"/>
          <w:vertAlign w:val="subscript"/>
        </w:rPr>
        <w:t>12</w:t>
      </w:r>
      <w:r w:rsidRPr="00E2407B">
        <w:rPr>
          <w:rFonts w:eastAsia="Arial" w:cs="Arial"/>
          <w:sz w:val="24"/>
          <w:szCs w:val="24"/>
        </w:rPr>
        <w:t xml:space="preserve"> (0.4 mg/mL) &gt; Labrasol® and C</w:t>
      </w:r>
      <w:r w:rsidRPr="00E2407B">
        <w:rPr>
          <w:rFonts w:eastAsia="Arial" w:cs="Arial"/>
          <w:sz w:val="24"/>
          <w:szCs w:val="24"/>
          <w:vertAlign w:val="subscript"/>
        </w:rPr>
        <w:t>10</w:t>
      </w:r>
      <w:r w:rsidRPr="00E2407B">
        <w:rPr>
          <w:rFonts w:eastAsia="Arial" w:cs="Arial"/>
          <w:sz w:val="24"/>
          <w:szCs w:val="24"/>
        </w:rPr>
        <w:t xml:space="preserve"> (1 mg/mL). </w:t>
      </w:r>
      <w:r w:rsidR="001163AC">
        <w:rPr>
          <w:rFonts w:eastAsia="Arial" w:cs="Arial"/>
          <w:sz w:val="24"/>
          <w:szCs w:val="24"/>
        </w:rPr>
        <w:t>In sum, consistent with the TEER data, Labrasol</w:t>
      </w:r>
      <w:r w:rsidR="001163AC">
        <w:rPr>
          <w:rFonts w:eastAsia="Arial"/>
          <w:sz w:val="24"/>
          <w:szCs w:val="24"/>
        </w:rPr>
        <w:t>®</w:t>
      </w:r>
      <w:r w:rsidR="001163AC">
        <w:rPr>
          <w:rFonts w:eastAsia="Arial" w:cs="Arial"/>
          <w:sz w:val="24"/>
          <w:szCs w:val="24"/>
        </w:rPr>
        <w:t xml:space="preserve"> ad-mixed with MCFA reduced TEER, whereas </w:t>
      </w:r>
      <w:r w:rsidR="00D17C50">
        <w:rPr>
          <w:rFonts w:eastAsia="Arial" w:cs="Arial"/>
          <w:sz w:val="24"/>
          <w:szCs w:val="24"/>
        </w:rPr>
        <w:t xml:space="preserve">overall </w:t>
      </w:r>
      <w:r w:rsidR="001163AC">
        <w:rPr>
          <w:rFonts w:eastAsia="Arial" w:cs="Arial"/>
          <w:sz w:val="24"/>
          <w:szCs w:val="24"/>
        </w:rPr>
        <w:t>these same concentrations of Labrasol</w:t>
      </w:r>
      <w:r w:rsidR="001163AC">
        <w:rPr>
          <w:rFonts w:eastAsia="Arial"/>
          <w:sz w:val="24"/>
          <w:szCs w:val="24"/>
        </w:rPr>
        <w:t>®</w:t>
      </w:r>
      <w:r w:rsidR="001163AC">
        <w:rPr>
          <w:rFonts w:eastAsia="Arial" w:cs="Arial"/>
          <w:sz w:val="24"/>
          <w:szCs w:val="24"/>
        </w:rPr>
        <w:t xml:space="preserve"> and MCFA had little effect when added in isolation. </w:t>
      </w:r>
    </w:p>
    <w:p w14:paraId="5E4D2C60" w14:textId="77777777" w:rsidR="00E2407B" w:rsidRPr="00E2407B" w:rsidRDefault="00E2407B" w:rsidP="00E2407B">
      <w:pPr>
        <w:spacing w:line="360" w:lineRule="auto"/>
        <w:rPr>
          <w:rFonts w:eastAsia="Arial" w:cs="Arial"/>
          <w:sz w:val="24"/>
          <w:szCs w:val="24"/>
        </w:rPr>
      </w:pPr>
    </w:p>
    <w:p w14:paraId="51AC4D05" w14:textId="6E17FEB3" w:rsidR="00720511" w:rsidRPr="00E2407B" w:rsidRDefault="00942B2B" w:rsidP="00E2407B">
      <w:pPr>
        <w:spacing w:line="360" w:lineRule="auto"/>
        <w:rPr>
          <w:rFonts w:eastAsia="Arial" w:cs="Arial"/>
          <w:b/>
          <w:i/>
          <w:sz w:val="24"/>
          <w:szCs w:val="24"/>
        </w:rPr>
      </w:pPr>
      <w:r w:rsidRPr="00E2407B">
        <w:rPr>
          <w:rFonts w:eastAsia="Arial" w:cs="Arial"/>
          <w:b/>
          <w:i/>
          <w:sz w:val="24"/>
          <w:szCs w:val="24"/>
        </w:rPr>
        <w:t>Effect of combinations of Labrasol® and MCFAs on</w:t>
      </w:r>
      <w:r w:rsidR="008672C2">
        <w:rPr>
          <w:rFonts w:eastAsia="Arial" w:cs="Arial"/>
          <w:b/>
          <w:i/>
          <w:sz w:val="24"/>
          <w:szCs w:val="24"/>
        </w:rPr>
        <w:t xml:space="preserve"> CCh-induced </w:t>
      </w:r>
      <w:r w:rsidR="008672C2" w:rsidRPr="008672C2">
        <w:rPr>
          <w:rFonts w:eastAsia="Arial" w:cs="Arial"/>
          <w:i/>
          <w:sz w:val="24"/>
          <w:szCs w:val="24"/>
        </w:rPr>
        <w:t>I</w:t>
      </w:r>
      <w:r w:rsidR="008672C2" w:rsidRPr="008672C2">
        <w:rPr>
          <w:rFonts w:eastAsia="Arial" w:cs="Arial"/>
          <w:i/>
          <w:sz w:val="24"/>
          <w:szCs w:val="24"/>
          <w:vertAlign w:val="subscript"/>
        </w:rPr>
        <w:t>sc</w:t>
      </w:r>
      <w:r w:rsidR="008672C2" w:rsidRPr="00E2407B">
        <w:rPr>
          <w:rFonts w:eastAsia="Arial" w:cs="Arial"/>
          <w:sz w:val="24"/>
          <w:szCs w:val="24"/>
        </w:rPr>
        <w:t xml:space="preserve"> </w:t>
      </w:r>
      <w:r w:rsidRPr="00E2407B">
        <w:rPr>
          <w:rFonts w:eastAsia="Arial" w:cs="Arial"/>
          <w:b/>
          <w:i/>
          <w:sz w:val="24"/>
          <w:szCs w:val="24"/>
        </w:rPr>
        <w:t>in isolated rat colonic mucosae</w:t>
      </w:r>
    </w:p>
    <w:p w14:paraId="3BFF47ED" w14:textId="67D50CC4" w:rsidR="00720511" w:rsidRPr="00E2407B" w:rsidRDefault="00942B2B" w:rsidP="00E2407B">
      <w:pPr>
        <w:spacing w:line="360" w:lineRule="auto"/>
        <w:rPr>
          <w:rFonts w:eastAsia="Arial" w:cs="Arial"/>
          <w:b/>
          <w:i/>
          <w:sz w:val="24"/>
          <w:szCs w:val="24"/>
        </w:rPr>
      </w:pPr>
      <w:r w:rsidRPr="00CE2316">
        <w:rPr>
          <w:rFonts w:eastAsia="Arial"/>
          <w:sz w:val="24"/>
        </w:rPr>
        <w:t>At the end of each experiment, stimulation of an inward I</w:t>
      </w:r>
      <w:r w:rsidRPr="00CE2316">
        <w:rPr>
          <w:rFonts w:eastAsia="Arial"/>
          <w:sz w:val="24"/>
          <w:vertAlign w:val="subscript"/>
        </w:rPr>
        <w:t>sc</w:t>
      </w:r>
      <w:r w:rsidRPr="00CE2316">
        <w:rPr>
          <w:rFonts w:eastAsia="Arial"/>
          <w:sz w:val="24"/>
        </w:rPr>
        <w:t xml:space="preserve"> with CCh (0.1-10 µM) was assessed across mucosae. The I</w:t>
      </w:r>
      <w:r w:rsidRPr="00CE2316">
        <w:rPr>
          <w:rFonts w:eastAsia="Arial"/>
          <w:sz w:val="24"/>
          <w:vertAlign w:val="subscript"/>
        </w:rPr>
        <w:t>sc</w:t>
      </w:r>
      <w:r w:rsidRPr="00CE2316">
        <w:rPr>
          <w:rFonts w:eastAsia="Arial"/>
          <w:sz w:val="24"/>
        </w:rPr>
        <w:t xml:space="preserve"> </w:t>
      </w:r>
      <w:r w:rsidR="000C72A4" w:rsidRPr="00CE2316">
        <w:rPr>
          <w:rFonts w:eastAsia="Arial"/>
          <w:sz w:val="24"/>
        </w:rPr>
        <w:t xml:space="preserve">across rat colonic mucosae </w:t>
      </w:r>
      <w:r w:rsidRPr="00CE2316">
        <w:rPr>
          <w:rFonts w:eastAsia="Arial"/>
          <w:sz w:val="24"/>
        </w:rPr>
        <w:t xml:space="preserve">is a surrogate of electrogenic chloride secretion and </w:t>
      </w:r>
      <w:r w:rsidR="001163AC" w:rsidRPr="00CE2316">
        <w:rPr>
          <w:rFonts w:eastAsia="Arial"/>
          <w:sz w:val="24"/>
        </w:rPr>
        <w:t>can be</w:t>
      </w:r>
      <w:r w:rsidRPr="00CE2316">
        <w:rPr>
          <w:rFonts w:eastAsia="Arial"/>
          <w:sz w:val="24"/>
        </w:rPr>
        <w:t xml:space="preserve"> used as a</w:t>
      </w:r>
      <w:r w:rsidR="001163AC" w:rsidRPr="00CE2316">
        <w:rPr>
          <w:rFonts w:eastAsia="Arial"/>
          <w:sz w:val="24"/>
        </w:rPr>
        <w:t xml:space="preserve"> measure of the</w:t>
      </w:r>
      <w:r w:rsidR="008009E9" w:rsidRPr="00CE2316">
        <w:rPr>
          <w:rFonts w:eastAsia="Arial"/>
          <w:sz w:val="24"/>
        </w:rPr>
        <w:t xml:space="preserve"> mainte</w:t>
      </w:r>
      <w:r w:rsidR="001163AC" w:rsidRPr="00CE2316">
        <w:rPr>
          <w:rFonts w:eastAsia="Arial"/>
          <w:sz w:val="24"/>
        </w:rPr>
        <w:t xml:space="preserve">nance of </w:t>
      </w:r>
      <w:r w:rsidRPr="00CE2316">
        <w:rPr>
          <w:rFonts w:eastAsia="Arial"/>
          <w:sz w:val="24"/>
        </w:rPr>
        <w:t xml:space="preserve">tissue </w:t>
      </w:r>
      <w:r w:rsidR="001163AC" w:rsidRPr="00CE2316">
        <w:rPr>
          <w:rFonts w:eastAsia="Arial"/>
          <w:sz w:val="24"/>
        </w:rPr>
        <w:t xml:space="preserve">capacity to </w:t>
      </w:r>
      <w:r w:rsidR="00D11D4F" w:rsidRPr="00CE2316">
        <w:rPr>
          <w:rFonts w:eastAsia="Arial" w:cs="Arial"/>
          <w:sz w:val="24"/>
          <w:szCs w:val="24"/>
        </w:rPr>
        <w:t xml:space="preserve">undergo active ion transport </w:t>
      </w:r>
      <w:r w:rsidRPr="00CE2316">
        <w:rPr>
          <w:rFonts w:eastAsia="Arial"/>
          <w:sz w:val="24"/>
        </w:rPr>
        <w:t>[</w:t>
      </w:r>
      <w:hyperlink w:anchor="_1pxezwc">
        <w:r w:rsidRPr="00CE2316">
          <w:rPr>
            <w:rFonts w:eastAsia="Arial"/>
            <w:sz w:val="24"/>
          </w:rPr>
          <w:t>28</w:t>
        </w:r>
      </w:hyperlink>
      <w:r w:rsidRPr="00CE2316">
        <w:rPr>
          <w:rFonts w:eastAsia="Arial"/>
          <w:sz w:val="24"/>
        </w:rPr>
        <w:t xml:space="preserve">]. It is noteworthy </w:t>
      </w:r>
      <w:r w:rsidR="000C72A4" w:rsidRPr="00CE2316">
        <w:rPr>
          <w:rFonts w:eastAsia="Arial"/>
          <w:sz w:val="24"/>
        </w:rPr>
        <w:t>however</w:t>
      </w:r>
      <w:r w:rsidR="008009E9" w:rsidRPr="00CE2316">
        <w:rPr>
          <w:rFonts w:eastAsia="Arial"/>
          <w:sz w:val="24"/>
        </w:rPr>
        <w:t xml:space="preserve"> </w:t>
      </w:r>
      <w:r w:rsidRPr="00CE2316">
        <w:rPr>
          <w:rFonts w:eastAsia="Arial"/>
          <w:sz w:val="24"/>
        </w:rPr>
        <w:t xml:space="preserve">that </w:t>
      </w:r>
      <w:r w:rsidR="000C72A4">
        <w:rPr>
          <w:rFonts w:eastAsia="Arial"/>
          <w:sz w:val="24"/>
        </w:rPr>
        <w:t xml:space="preserve">even </w:t>
      </w:r>
      <w:r w:rsidRPr="00CE2316">
        <w:rPr>
          <w:rFonts w:eastAsia="Arial"/>
          <w:sz w:val="24"/>
        </w:rPr>
        <w:t xml:space="preserve">low concentrations of </w:t>
      </w:r>
      <w:r w:rsidR="008009E9" w:rsidRPr="00CE2316">
        <w:rPr>
          <w:rFonts w:eastAsia="Arial"/>
          <w:sz w:val="24"/>
        </w:rPr>
        <w:t>MCFA</w:t>
      </w:r>
      <w:r w:rsidRPr="00CE2316">
        <w:rPr>
          <w:rFonts w:eastAsia="Arial"/>
          <w:sz w:val="24"/>
        </w:rPr>
        <w:t xml:space="preserve"> </w:t>
      </w:r>
      <w:r w:rsidR="000C72A4" w:rsidRPr="00CE2316">
        <w:rPr>
          <w:rFonts w:eastAsia="Arial"/>
          <w:sz w:val="24"/>
        </w:rPr>
        <w:t xml:space="preserve">can </w:t>
      </w:r>
      <w:r w:rsidRPr="00CE2316">
        <w:rPr>
          <w:rFonts w:eastAsia="Arial"/>
          <w:sz w:val="24"/>
        </w:rPr>
        <w:t>attenuate electrogenic chloride secreti</w:t>
      </w:r>
      <w:r w:rsidR="000C72A4" w:rsidRPr="00CE2316">
        <w:rPr>
          <w:rFonts w:eastAsia="Arial"/>
          <w:sz w:val="24"/>
        </w:rPr>
        <w:t>on</w:t>
      </w:r>
      <w:r w:rsidRPr="00CE2316">
        <w:rPr>
          <w:rFonts w:eastAsia="Arial"/>
          <w:sz w:val="24"/>
        </w:rPr>
        <w:t xml:space="preserve"> [</w:t>
      </w:r>
      <w:hyperlink w:anchor="_ihv636">
        <w:r w:rsidRPr="00CE2316">
          <w:rPr>
            <w:rFonts w:eastAsia="Arial"/>
            <w:sz w:val="24"/>
          </w:rPr>
          <w:t>34</w:t>
        </w:r>
      </w:hyperlink>
      <w:r w:rsidRPr="00CE2316">
        <w:rPr>
          <w:rFonts w:eastAsia="Arial"/>
          <w:sz w:val="24"/>
        </w:rPr>
        <w:t>]</w:t>
      </w:r>
      <w:r w:rsidR="000C72A4" w:rsidRPr="00CE2316">
        <w:rPr>
          <w:rFonts w:eastAsia="Arial" w:cs="Arial"/>
          <w:sz w:val="24"/>
          <w:szCs w:val="24"/>
        </w:rPr>
        <w:t>.</w:t>
      </w:r>
      <w:r w:rsidR="008009E9" w:rsidRPr="00CE2316">
        <w:rPr>
          <w:rFonts w:eastAsia="Arial"/>
          <w:sz w:val="24"/>
        </w:rPr>
        <w:t xml:space="preserve"> </w:t>
      </w:r>
      <w:r w:rsidR="000C72A4">
        <w:rPr>
          <w:rFonts w:eastAsia="Arial"/>
          <w:sz w:val="24"/>
        </w:rPr>
        <w:t xml:space="preserve">With that caveat, we investigated whether </w:t>
      </w:r>
      <w:r w:rsidR="00F74FF9" w:rsidRPr="00CE2316">
        <w:rPr>
          <w:rFonts w:eastAsia="Arial"/>
          <w:sz w:val="24"/>
        </w:rPr>
        <w:t xml:space="preserve">additional </w:t>
      </w:r>
      <w:r w:rsidR="000C72A4" w:rsidRPr="00CE2316">
        <w:rPr>
          <w:rFonts w:eastAsia="Arial"/>
          <w:sz w:val="24"/>
        </w:rPr>
        <w:t>reduction</w:t>
      </w:r>
      <w:r w:rsidR="000C72A4">
        <w:rPr>
          <w:rFonts w:eastAsia="Arial"/>
          <w:sz w:val="24"/>
        </w:rPr>
        <w:t>s</w:t>
      </w:r>
      <w:r w:rsidR="00F74FF9" w:rsidRPr="00CE2316">
        <w:rPr>
          <w:rFonts w:eastAsia="Arial"/>
          <w:sz w:val="24"/>
        </w:rPr>
        <w:t xml:space="preserve"> in</w:t>
      </w:r>
      <w:r w:rsidR="00D17C50" w:rsidRPr="00CE2316">
        <w:rPr>
          <w:rFonts w:eastAsia="Arial"/>
          <w:sz w:val="24"/>
        </w:rPr>
        <w:t xml:space="preserve"> the </w:t>
      </w:r>
      <w:r w:rsidR="008009E9" w:rsidRPr="00CE2316">
        <w:rPr>
          <w:rFonts w:eastAsia="Arial"/>
          <w:sz w:val="24"/>
        </w:rPr>
        <w:t>CCh-induced I</w:t>
      </w:r>
      <w:r w:rsidR="008009E9" w:rsidRPr="00CE2316">
        <w:rPr>
          <w:rFonts w:eastAsia="Arial"/>
          <w:sz w:val="24"/>
          <w:vertAlign w:val="subscript"/>
        </w:rPr>
        <w:t>sc</w:t>
      </w:r>
      <w:r w:rsidR="008009E9" w:rsidRPr="00CE2316">
        <w:rPr>
          <w:rFonts w:eastAsia="Arial"/>
          <w:sz w:val="24"/>
        </w:rPr>
        <w:t xml:space="preserve"> </w:t>
      </w:r>
      <w:r w:rsidR="000C72A4">
        <w:rPr>
          <w:rFonts w:eastAsia="Arial"/>
          <w:sz w:val="24"/>
        </w:rPr>
        <w:t>were present following exposure to the combinations over that induced by the single agents</w:t>
      </w:r>
      <w:r w:rsidRPr="00CE2316">
        <w:rPr>
          <w:rFonts w:eastAsia="Arial"/>
          <w:sz w:val="24"/>
        </w:rPr>
        <w:t>.</w:t>
      </w:r>
      <w:r w:rsidRPr="00E2407B">
        <w:rPr>
          <w:rFonts w:eastAsia="Arial" w:cs="Arial"/>
          <w:sz w:val="24"/>
          <w:szCs w:val="24"/>
        </w:rPr>
        <w:t xml:space="preserve"> Labrasol® exposure</w:t>
      </w:r>
      <w:r w:rsidR="00305A92">
        <w:rPr>
          <w:rFonts w:eastAsia="Arial" w:cs="Arial"/>
          <w:sz w:val="24"/>
          <w:szCs w:val="24"/>
        </w:rPr>
        <w:t xml:space="preserve"> at 1mg/mL</w:t>
      </w:r>
      <w:r w:rsidRPr="00E2407B">
        <w:rPr>
          <w:rFonts w:eastAsia="Arial" w:cs="Arial"/>
          <w:sz w:val="24"/>
          <w:szCs w:val="24"/>
        </w:rPr>
        <w:t xml:space="preserve"> induced a partial reduction in CCh-stimulated </w:t>
      </w:r>
      <w:r w:rsidR="007751D7" w:rsidRPr="00E2407B">
        <w:rPr>
          <w:rFonts w:eastAsia="Symbol" w:cs="Arial"/>
          <w:sz w:val="24"/>
          <w:szCs w:val="24"/>
        </w:rPr>
        <w:t>Δ</w:t>
      </w:r>
      <w:r w:rsidRPr="00E2407B">
        <w:rPr>
          <w:rFonts w:eastAsia="Arial" w:cs="Arial"/>
          <w:sz w:val="24"/>
          <w:szCs w:val="24"/>
        </w:rPr>
        <w:t>I</w:t>
      </w:r>
      <w:r w:rsidRPr="00E2407B">
        <w:rPr>
          <w:rFonts w:eastAsia="Arial" w:cs="Arial"/>
          <w:sz w:val="24"/>
          <w:szCs w:val="24"/>
          <w:vertAlign w:val="subscript"/>
        </w:rPr>
        <w:t>sc</w:t>
      </w:r>
      <w:r w:rsidRPr="00E2407B">
        <w:rPr>
          <w:rFonts w:eastAsia="Arial" w:cs="Arial"/>
          <w:sz w:val="24"/>
          <w:szCs w:val="24"/>
        </w:rPr>
        <w:t xml:space="preserve"> (Fig. </w:t>
      </w:r>
      <w:r w:rsidR="0047629D">
        <w:rPr>
          <w:rFonts w:eastAsia="Arial" w:cs="Arial"/>
          <w:sz w:val="24"/>
          <w:szCs w:val="24"/>
        </w:rPr>
        <w:t>3</w:t>
      </w:r>
      <w:r w:rsidR="005C539D">
        <w:rPr>
          <w:rFonts w:eastAsia="Arial" w:cs="Arial"/>
          <w:sz w:val="24"/>
          <w:szCs w:val="24"/>
        </w:rPr>
        <w:t>, each panel</w:t>
      </w:r>
      <w:r w:rsidRPr="00E2407B">
        <w:rPr>
          <w:rFonts w:eastAsia="Arial" w:cs="Arial"/>
          <w:sz w:val="24"/>
          <w:szCs w:val="24"/>
        </w:rPr>
        <w:t>). C</w:t>
      </w:r>
      <w:r w:rsidRPr="00E2407B">
        <w:rPr>
          <w:rFonts w:eastAsia="Arial" w:cs="Arial"/>
          <w:sz w:val="24"/>
          <w:szCs w:val="24"/>
          <w:vertAlign w:val="subscript"/>
        </w:rPr>
        <w:t>10</w:t>
      </w:r>
      <w:r w:rsidRPr="00E2407B">
        <w:rPr>
          <w:rFonts w:eastAsia="Arial" w:cs="Arial"/>
          <w:sz w:val="24"/>
          <w:szCs w:val="24"/>
        </w:rPr>
        <w:t xml:space="preserve"> also caused a concentration-dependent partial reduction (Fig. </w:t>
      </w:r>
      <w:r w:rsidR="0047629D">
        <w:rPr>
          <w:rFonts w:eastAsia="Arial" w:cs="Arial"/>
          <w:sz w:val="24"/>
          <w:szCs w:val="24"/>
        </w:rPr>
        <w:t>3</w:t>
      </w:r>
      <w:r w:rsidRPr="00E2407B">
        <w:rPr>
          <w:rFonts w:eastAsia="Arial" w:cs="Arial"/>
          <w:sz w:val="24"/>
          <w:szCs w:val="24"/>
        </w:rPr>
        <w:t>A-C), while there was near complete inhibition at all concentrations of C</w:t>
      </w:r>
      <w:r w:rsidRPr="00E2407B">
        <w:rPr>
          <w:rFonts w:eastAsia="Arial" w:cs="Arial"/>
          <w:sz w:val="24"/>
          <w:szCs w:val="24"/>
          <w:vertAlign w:val="subscript"/>
        </w:rPr>
        <w:t>11:1</w:t>
      </w:r>
      <w:r w:rsidRPr="00E2407B">
        <w:rPr>
          <w:rFonts w:eastAsia="Arial" w:cs="Arial"/>
          <w:sz w:val="24"/>
          <w:szCs w:val="24"/>
        </w:rPr>
        <w:t xml:space="preserve"> (F</w:t>
      </w:r>
      <w:r w:rsidR="00CE2316">
        <w:rPr>
          <w:rFonts w:eastAsia="Arial" w:cs="Arial"/>
          <w:sz w:val="24"/>
          <w:szCs w:val="24"/>
        </w:rPr>
        <w:t>ig. 3</w:t>
      </w:r>
      <w:r w:rsidRPr="00E2407B">
        <w:rPr>
          <w:rFonts w:eastAsia="Arial" w:cs="Arial"/>
          <w:sz w:val="24"/>
          <w:szCs w:val="24"/>
        </w:rPr>
        <w:t>D-F) and C</w:t>
      </w:r>
      <w:r w:rsidRPr="00E2407B">
        <w:rPr>
          <w:rFonts w:eastAsia="Arial" w:cs="Arial"/>
          <w:sz w:val="24"/>
          <w:szCs w:val="24"/>
          <w:vertAlign w:val="subscript"/>
        </w:rPr>
        <w:t>12</w:t>
      </w:r>
      <w:r w:rsidRPr="00E2407B">
        <w:rPr>
          <w:rFonts w:eastAsia="Arial" w:cs="Arial"/>
          <w:sz w:val="24"/>
          <w:szCs w:val="24"/>
        </w:rPr>
        <w:t xml:space="preserve"> (Fig. </w:t>
      </w:r>
      <w:r w:rsidR="0047629D">
        <w:rPr>
          <w:rFonts w:eastAsia="Arial" w:cs="Arial"/>
          <w:sz w:val="24"/>
          <w:szCs w:val="24"/>
        </w:rPr>
        <w:t>3</w:t>
      </w:r>
      <w:r w:rsidRPr="00E2407B">
        <w:rPr>
          <w:rFonts w:eastAsia="Arial" w:cs="Arial"/>
          <w:sz w:val="24"/>
          <w:szCs w:val="24"/>
        </w:rPr>
        <w:t>G-H). Labrasol® + C</w:t>
      </w:r>
      <w:r w:rsidRPr="00E2407B">
        <w:rPr>
          <w:rFonts w:eastAsia="Arial" w:cs="Arial"/>
          <w:sz w:val="24"/>
          <w:szCs w:val="24"/>
          <w:vertAlign w:val="subscript"/>
        </w:rPr>
        <w:t>10</w:t>
      </w:r>
      <w:r w:rsidRPr="00E2407B">
        <w:rPr>
          <w:rFonts w:eastAsia="Arial" w:cs="Arial"/>
          <w:sz w:val="24"/>
          <w:szCs w:val="24"/>
        </w:rPr>
        <w:t xml:space="preserve"> </w:t>
      </w:r>
      <w:r w:rsidRPr="00E2407B">
        <w:rPr>
          <w:rFonts w:eastAsia="Arial" w:cs="Arial"/>
          <w:sz w:val="24"/>
          <w:szCs w:val="24"/>
        </w:rPr>
        <w:lastRenderedPageBreak/>
        <w:t>combinations caused a reduction in I</w:t>
      </w:r>
      <w:r w:rsidRPr="00E2407B">
        <w:rPr>
          <w:rFonts w:eastAsia="Arial" w:cs="Arial"/>
          <w:sz w:val="24"/>
          <w:szCs w:val="24"/>
          <w:vertAlign w:val="subscript"/>
        </w:rPr>
        <w:t>sc</w:t>
      </w:r>
      <w:r w:rsidR="00D17C50">
        <w:rPr>
          <w:rFonts w:eastAsia="Arial" w:cs="Arial"/>
          <w:sz w:val="24"/>
          <w:szCs w:val="24"/>
        </w:rPr>
        <w:t xml:space="preserve">, </w:t>
      </w:r>
      <w:r w:rsidRPr="00E2407B">
        <w:rPr>
          <w:rFonts w:eastAsia="Arial" w:cs="Arial"/>
          <w:sz w:val="24"/>
          <w:szCs w:val="24"/>
        </w:rPr>
        <w:t>which was dependent on the C</w:t>
      </w:r>
      <w:r w:rsidRPr="00E2407B">
        <w:rPr>
          <w:rFonts w:eastAsia="Arial" w:cs="Arial"/>
          <w:sz w:val="24"/>
          <w:szCs w:val="24"/>
          <w:vertAlign w:val="subscript"/>
        </w:rPr>
        <w:t>10</w:t>
      </w:r>
      <w:r w:rsidRPr="00E2407B">
        <w:rPr>
          <w:rFonts w:eastAsia="Arial" w:cs="Arial"/>
          <w:sz w:val="24"/>
          <w:szCs w:val="24"/>
        </w:rPr>
        <w:t xml:space="preserve"> concentration in the combination (Fig. </w:t>
      </w:r>
      <w:r w:rsidR="0047629D">
        <w:rPr>
          <w:rFonts w:eastAsia="Arial" w:cs="Arial"/>
          <w:sz w:val="24"/>
          <w:szCs w:val="24"/>
        </w:rPr>
        <w:t>3</w:t>
      </w:r>
      <w:r w:rsidRPr="00E2407B">
        <w:rPr>
          <w:rFonts w:eastAsia="Arial" w:cs="Arial"/>
          <w:sz w:val="24"/>
          <w:szCs w:val="24"/>
        </w:rPr>
        <w:t>A-C). Only a partial reduction in I</w:t>
      </w:r>
      <w:r w:rsidRPr="00E2407B">
        <w:rPr>
          <w:rFonts w:eastAsia="Arial" w:cs="Arial"/>
          <w:sz w:val="24"/>
          <w:szCs w:val="24"/>
          <w:vertAlign w:val="subscript"/>
        </w:rPr>
        <w:t>sc</w:t>
      </w:r>
      <w:r w:rsidRPr="00E2407B">
        <w:rPr>
          <w:rFonts w:eastAsia="Arial" w:cs="Arial"/>
          <w:sz w:val="24"/>
          <w:szCs w:val="24"/>
        </w:rPr>
        <w:t xml:space="preserve"> was seen with Labrasol® + C</w:t>
      </w:r>
      <w:r w:rsidRPr="00E2407B">
        <w:rPr>
          <w:rFonts w:eastAsia="Arial" w:cs="Arial"/>
          <w:sz w:val="24"/>
          <w:szCs w:val="24"/>
          <w:vertAlign w:val="subscript"/>
        </w:rPr>
        <w:t>10</w:t>
      </w:r>
      <w:r w:rsidRPr="00E2407B">
        <w:rPr>
          <w:rFonts w:eastAsia="Arial" w:cs="Arial"/>
          <w:sz w:val="24"/>
          <w:szCs w:val="24"/>
        </w:rPr>
        <w:t xml:space="preserve"> (0.5 mg/mL) (Fig. </w:t>
      </w:r>
      <w:r w:rsidR="0047629D">
        <w:rPr>
          <w:rFonts w:eastAsia="Arial" w:cs="Arial"/>
          <w:sz w:val="24"/>
          <w:szCs w:val="24"/>
        </w:rPr>
        <w:t>3</w:t>
      </w:r>
      <w:r w:rsidRPr="00E2407B">
        <w:rPr>
          <w:rFonts w:eastAsia="Arial" w:cs="Arial"/>
          <w:sz w:val="24"/>
          <w:szCs w:val="24"/>
        </w:rPr>
        <w:t>A), whereas exposure of mucosae to Labrasol® + C</w:t>
      </w:r>
      <w:r w:rsidRPr="00E2407B">
        <w:rPr>
          <w:rFonts w:eastAsia="Arial" w:cs="Arial"/>
          <w:sz w:val="24"/>
          <w:szCs w:val="24"/>
          <w:vertAlign w:val="subscript"/>
        </w:rPr>
        <w:t>11:1</w:t>
      </w:r>
      <w:r w:rsidRPr="00E2407B">
        <w:rPr>
          <w:rFonts w:eastAsia="Arial" w:cs="Arial"/>
          <w:sz w:val="24"/>
          <w:szCs w:val="24"/>
        </w:rPr>
        <w:t xml:space="preserve"> (Fig. </w:t>
      </w:r>
      <w:r w:rsidR="0047629D">
        <w:rPr>
          <w:rFonts w:eastAsia="Arial" w:cs="Arial"/>
          <w:sz w:val="24"/>
          <w:szCs w:val="24"/>
        </w:rPr>
        <w:t>3</w:t>
      </w:r>
      <w:r w:rsidRPr="00E2407B">
        <w:rPr>
          <w:rFonts w:eastAsia="Arial" w:cs="Arial"/>
          <w:sz w:val="24"/>
          <w:szCs w:val="24"/>
        </w:rPr>
        <w:t>D-F) and Labrasol® + C</w:t>
      </w:r>
      <w:r w:rsidRPr="00E2407B">
        <w:rPr>
          <w:rFonts w:eastAsia="Arial" w:cs="Arial"/>
          <w:sz w:val="24"/>
          <w:szCs w:val="24"/>
          <w:vertAlign w:val="subscript"/>
        </w:rPr>
        <w:t>12</w:t>
      </w:r>
      <w:r w:rsidRPr="00E2407B">
        <w:rPr>
          <w:rFonts w:eastAsia="Arial" w:cs="Arial"/>
          <w:sz w:val="24"/>
          <w:szCs w:val="24"/>
        </w:rPr>
        <w:t xml:space="preserve"> (Fig. </w:t>
      </w:r>
      <w:r w:rsidR="0047629D">
        <w:rPr>
          <w:rFonts w:eastAsia="Arial" w:cs="Arial"/>
          <w:sz w:val="24"/>
          <w:szCs w:val="24"/>
        </w:rPr>
        <w:t>3</w:t>
      </w:r>
      <w:r w:rsidRPr="00E2407B">
        <w:rPr>
          <w:rFonts w:eastAsia="Arial" w:cs="Arial"/>
          <w:sz w:val="24"/>
          <w:szCs w:val="24"/>
        </w:rPr>
        <w:t>G-H) resulted in near complete inhibition from all combinations tested.</w:t>
      </w:r>
      <w:r w:rsidR="008009E9">
        <w:rPr>
          <w:rFonts w:eastAsia="Arial" w:cs="Arial"/>
          <w:sz w:val="24"/>
          <w:szCs w:val="24"/>
        </w:rPr>
        <w:t xml:space="preserve"> </w:t>
      </w:r>
      <w:r w:rsidR="008009E9" w:rsidRPr="00D17C50">
        <w:rPr>
          <w:rFonts w:eastAsia="Arial" w:cs="Arial"/>
          <w:sz w:val="24"/>
          <w:szCs w:val="24"/>
        </w:rPr>
        <w:t>Overall,</w:t>
      </w:r>
      <w:r w:rsidR="00D17C50">
        <w:rPr>
          <w:rFonts w:eastAsia="Arial" w:cs="Arial"/>
          <w:sz w:val="24"/>
          <w:szCs w:val="24"/>
        </w:rPr>
        <w:t xml:space="preserve"> the combinations </w:t>
      </w:r>
      <w:r w:rsidR="000653BF">
        <w:rPr>
          <w:rFonts w:eastAsia="Arial" w:cs="Arial"/>
          <w:sz w:val="24"/>
          <w:szCs w:val="24"/>
        </w:rPr>
        <w:t>attenuated</w:t>
      </w:r>
      <w:r w:rsidR="00D17C50">
        <w:rPr>
          <w:rFonts w:eastAsia="Arial" w:cs="Arial"/>
          <w:sz w:val="24"/>
          <w:szCs w:val="24"/>
        </w:rPr>
        <w:t xml:space="preserve"> the CCh-stimulated </w:t>
      </w:r>
      <w:r w:rsidR="00D17C50" w:rsidRPr="00E2407B">
        <w:rPr>
          <w:rFonts w:eastAsia="Arial" w:cs="Arial"/>
          <w:sz w:val="24"/>
          <w:szCs w:val="24"/>
        </w:rPr>
        <w:t>I</w:t>
      </w:r>
      <w:r w:rsidR="00D17C50" w:rsidRPr="00E2407B">
        <w:rPr>
          <w:rFonts w:eastAsia="Arial" w:cs="Arial"/>
          <w:sz w:val="24"/>
          <w:szCs w:val="24"/>
          <w:vertAlign w:val="subscript"/>
        </w:rPr>
        <w:t>sc</w:t>
      </w:r>
      <w:r w:rsidR="00D17C50">
        <w:rPr>
          <w:rFonts w:eastAsia="Arial" w:cs="Arial"/>
          <w:sz w:val="24"/>
          <w:szCs w:val="24"/>
        </w:rPr>
        <w:t xml:space="preserve"> </w:t>
      </w:r>
      <w:r w:rsidR="000653BF">
        <w:rPr>
          <w:rFonts w:eastAsia="Arial" w:cs="Arial"/>
          <w:sz w:val="24"/>
          <w:szCs w:val="24"/>
        </w:rPr>
        <w:t xml:space="preserve">to a greater extent than </w:t>
      </w:r>
      <w:r w:rsidR="00D17C50">
        <w:rPr>
          <w:rFonts w:eastAsia="Arial" w:cs="Arial"/>
          <w:sz w:val="24"/>
          <w:szCs w:val="24"/>
        </w:rPr>
        <w:t xml:space="preserve">MCFA </w:t>
      </w:r>
      <w:r w:rsidR="005C539D">
        <w:rPr>
          <w:rFonts w:eastAsia="Arial" w:cs="Arial"/>
          <w:sz w:val="24"/>
          <w:szCs w:val="24"/>
        </w:rPr>
        <w:t>or Labrasol</w:t>
      </w:r>
      <w:r w:rsidR="005C539D">
        <w:rPr>
          <w:rFonts w:eastAsia="Arial"/>
          <w:sz w:val="24"/>
          <w:szCs w:val="24"/>
        </w:rPr>
        <w:t>®</w:t>
      </w:r>
      <w:r w:rsidR="005C539D">
        <w:rPr>
          <w:rFonts w:eastAsia="Arial" w:cs="Arial"/>
          <w:sz w:val="24"/>
          <w:szCs w:val="24"/>
        </w:rPr>
        <w:t xml:space="preserve"> </w:t>
      </w:r>
      <w:r w:rsidR="00305A92">
        <w:rPr>
          <w:rFonts w:eastAsia="Arial" w:cs="Arial"/>
          <w:sz w:val="24"/>
          <w:szCs w:val="24"/>
        </w:rPr>
        <w:t>in isolation</w:t>
      </w:r>
      <w:r w:rsidR="00D17C50">
        <w:rPr>
          <w:rFonts w:eastAsia="Arial" w:cs="Arial"/>
          <w:sz w:val="24"/>
          <w:szCs w:val="24"/>
        </w:rPr>
        <w:t xml:space="preserve">. </w:t>
      </w:r>
      <w:r w:rsidR="00443F08">
        <w:rPr>
          <w:rFonts w:eastAsia="Arial" w:cs="Arial"/>
          <w:sz w:val="24"/>
          <w:szCs w:val="24"/>
        </w:rPr>
        <w:br/>
      </w:r>
      <w:r w:rsidR="00D17C50">
        <w:rPr>
          <w:rFonts w:eastAsia="Arial" w:cs="Arial"/>
          <w:b/>
          <w:i/>
          <w:sz w:val="24"/>
          <w:szCs w:val="24"/>
        </w:rPr>
        <w:br/>
      </w:r>
      <w:r w:rsidRPr="00E2407B">
        <w:rPr>
          <w:rFonts w:eastAsia="Arial" w:cs="Arial"/>
          <w:b/>
          <w:i/>
          <w:sz w:val="24"/>
          <w:szCs w:val="24"/>
        </w:rPr>
        <w:t>Effect of combinations of Labrasol® and MCFAs on morphology of isolated colonic mucosae</w:t>
      </w:r>
    </w:p>
    <w:p w14:paraId="37643A19" w14:textId="0DC2D085" w:rsidR="00720511" w:rsidRPr="00305A92" w:rsidRDefault="00942B2B" w:rsidP="00A35535">
      <w:pPr>
        <w:spacing w:line="360" w:lineRule="auto"/>
        <w:rPr>
          <w:rFonts w:eastAsia="Arial" w:cs="Arial"/>
          <w:i/>
          <w:sz w:val="24"/>
          <w:szCs w:val="24"/>
        </w:rPr>
      </w:pPr>
      <w:r w:rsidRPr="00E2407B">
        <w:rPr>
          <w:rFonts w:eastAsia="Arial" w:cs="Arial"/>
          <w:sz w:val="24"/>
          <w:szCs w:val="24"/>
        </w:rPr>
        <w:t xml:space="preserve">Control mucosae showed normal morphological features including an intact layer of columnar cells and there was no evidence of sloughing or loss of barrier continuity after 120 min in the Ussing chamber (Fig </w:t>
      </w:r>
      <w:r w:rsidR="0047629D">
        <w:rPr>
          <w:rFonts w:eastAsia="Arial" w:cs="Arial"/>
          <w:sz w:val="24"/>
          <w:szCs w:val="24"/>
        </w:rPr>
        <w:t>4</w:t>
      </w:r>
      <w:r w:rsidR="004F3D2C">
        <w:rPr>
          <w:rFonts w:eastAsia="Arial" w:cs="Arial"/>
          <w:sz w:val="24"/>
          <w:szCs w:val="24"/>
        </w:rPr>
        <w:t xml:space="preserve"> (i)</w:t>
      </w:r>
      <w:r w:rsidRPr="00E2407B">
        <w:rPr>
          <w:rFonts w:eastAsia="Arial" w:cs="Arial"/>
          <w:sz w:val="24"/>
          <w:szCs w:val="24"/>
        </w:rPr>
        <w:t xml:space="preserve">). There was </w:t>
      </w:r>
      <w:r w:rsidR="008672C2">
        <w:rPr>
          <w:rFonts w:eastAsia="Arial" w:cs="Arial"/>
          <w:sz w:val="24"/>
          <w:szCs w:val="24"/>
        </w:rPr>
        <w:t xml:space="preserve">however, some </w:t>
      </w:r>
      <w:r w:rsidRPr="00E2407B">
        <w:rPr>
          <w:rFonts w:eastAsia="Arial" w:cs="Arial"/>
          <w:sz w:val="24"/>
          <w:szCs w:val="24"/>
        </w:rPr>
        <w:t xml:space="preserve">evidence of oedema in the sub-mucosa, but the overall structure of the submucosa appeared unperturbed. The observation </w:t>
      </w:r>
      <w:r w:rsidR="008672C2">
        <w:rPr>
          <w:rFonts w:eastAsia="Arial" w:cs="Arial"/>
          <w:sz w:val="24"/>
          <w:szCs w:val="24"/>
        </w:rPr>
        <w:t xml:space="preserve">of mild damage </w:t>
      </w:r>
      <w:r w:rsidRPr="00E2407B">
        <w:rPr>
          <w:rFonts w:eastAsia="Arial" w:cs="Arial"/>
          <w:sz w:val="24"/>
          <w:szCs w:val="24"/>
        </w:rPr>
        <w:t>w</w:t>
      </w:r>
      <w:r w:rsidR="008672C2">
        <w:rPr>
          <w:rFonts w:eastAsia="Arial" w:cs="Arial"/>
          <w:sz w:val="24"/>
          <w:szCs w:val="24"/>
        </w:rPr>
        <w:t>as</w:t>
      </w:r>
      <w:r w:rsidRPr="00E2407B">
        <w:rPr>
          <w:rFonts w:eastAsia="Arial" w:cs="Arial"/>
          <w:sz w:val="24"/>
          <w:szCs w:val="24"/>
        </w:rPr>
        <w:t xml:space="preserve"> consistent with previous</w:t>
      </w:r>
      <w:r w:rsidR="008672C2">
        <w:rPr>
          <w:rFonts w:eastAsia="Arial" w:cs="Arial"/>
          <w:sz w:val="24"/>
          <w:szCs w:val="24"/>
        </w:rPr>
        <w:t xml:space="preserve"> studies using </w:t>
      </w:r>
      <w:r w:rsidRPr="00E2407B">
        <w:rPr>
          <w:rFonts w:eastAsia="Arial" w:cs="Arial"/>
          <w:sz w:val="24"/>
          <w:szCs w:val="24"/>
        </w:rPr>
        <w:t>rat colonic mucosae mounted in Ussing chambers [</w:t>
      </w:r>
      <w:hyperlink w:anchor="_1pxezwc">
        <w:r w:rsidRPr="00033581">
          <w:rPr>
            <w:rFonts w:eastAsia="Arial" w:cs="Arial"/>
            <w:sz w:val="24"/>
            <w:szCs w:val="24"/>
          </w:rPr>
          <w:t>28</w:t>
        </w:r>
      </w:hyperlink>
      <w:r w:rsidRPr="00E2407B">
        <w:rPr>
          <w:rFonts w:eastAsia="Arial" w:cs="Arial"/>
          <w:sz w:val="24"/>
          <w:szCs w:val="24"/>
        </w:rPr>
        <w:t>]. Mild histological damage was observed in all treatments that significantly increased P</w:t>
      </w:r>
      <w:r w:rsidRPr="00E2407B">
        <w:rPr>
          <w:rFonts w:eastAsia="Arial" w:cs="Arial"/>
          <w:sz w:val="24"/>
          <w:szCs w:val="24"/>
          <w:vertAlign w:val="subscript"/>
        </w:rPr>
        <w:t>app</w:t>
      </w:r>
      <w:r w:rsidRPr="00E2407B">
        <w:rPr>
          <w:rFonts w:eastAsia="Arial" w:cs="Arial"/>
          <w:sz w:val="24"/>
          <w:szCs w:val="24"/>
        </w:rPr>
        <w:t xml:space="preserve"> of FD4. Exposure to Labrasol® (1 mg/mL</w:t>
      </w:r>
      <w:r w:rsidR="004F3D2C">
        <w:rPr>
          <w:rFonts w:eastAsia="Arial" w:cs="Arial"/>
          <w:sz w:val="24"/>
          <w:szCs w:val="24"/>
        </w:rPr>
        <w:t>; Fig 4 (i)</w:t>
      </w:r>
      <w:r w:rsidRPr="00E2407B">
        <w:rPr>
          <w:rFonts w:eastAsia="Arial" w:cs="Arial"/>
          <w:sz w:val="24"/>
          <w:szCs w:val="24"/>
        </w:rPr>
        <w:t>), C</w:t>
      </w:r>
      <w:r w:rsidRPr="00E2407B">
        <w:rPr>
          <w:rFonts w:eastAsia="Arial" w:cs="Arial"/>
          <w:sz w:val="24"/>
          <w:szCs w:val="24"/>
          <w:vertAlign w:val="subscript"/>
        </w:rPr>
        <w:t>10</w:t>
      </w:r>
      <w:r w:rsidRPr="00E2407B">
        <w:rPr>
          <w:rFonts w:eastAsia="Arial" w:cs="Arial"/>
          <w:sz w:val="24"/>
          <w:szCs w:val="24"/>
        </w:rPr>
        <w:t xml:space="preserve"> (0.5-0.8 mg/mL</w:t>
      </w:r>
      <w:r w:rsidR="004F3D2C">
        <w:rPr>
          <w:rFonts w:eastAsia="Arial" w:cs="Arial"/>
          <w:sz w:val="24"/>
          <w:szCs w:val="24"/>
        </w:rPr>
        <w:t>; Fig. 4 (ii)</w:t>
      </w:r>
      <w:r w:rsidRPr="00E2407B">
        <w:rPr>
          <w:rFonts w:eastAsia="Arial" w:cs="Arial"/>
          <w:sz w:val="24"/>
          <w:szCs w:val="24"/>
        </w:rPr>
        <w:t xml:space="preserve">) </w:t>
      </w:r>
      <w:r w:rsidR="004F3D2C" w:rsidRPr="00E2407B">
        <w:rPr>
          <w:rFonts w:eastAsia="Arial" w:cs="Arial"/>
          <w:sz w:val="24"/>
          <w:szCs w:val="24"/>
        </w:rPr>
        <w:t>C</w:t>
      </w:r>
      <w:r w:rsidR="004F3D2C" w:rsidRPr="00E2407B">
        <w:rPr>
          <w:rFonts w:eastAsia="Arial" w:cs="Arial"/>
          <w:sz w:val="24"/>
          <w:szCs w:val="24"/>
          <w:vertAlign w:val="subscript"/>
        </w:rPr>
        <w:t>11:1</w:t>
      </w:r>
      <w:r w:rsidR="004F3D2C" w:rsidRPr="00E2407B">
        <w:rPr>
          <w:rFonts w:eastAsia="Arial" w:cs="Arial"/>
          <w:sz w:val="24"/>
          <w:szCs w:val="24"/>
        </w:rPr>
        <w:t xml:space="preserve"> (0.5 mg/mL</w:t>
      </w:r>
      <w:r w:rsidR="004F3D2C">
        <w:rPr>
          <w:rFonts w:eastAsia="Arial" w:cs="Arial"/>
          <w:sz w:val="24"/>
          <w:szCs w:val="24"/>
        </w:rPr>
        <w:t>; Fig. 4 (iii</w:t>
      </w:r>
      <w:r w:rsidR="004F3D2C" w:rsidRPr="00E2407B">
        <w:rPr>
          <w:rFonts w:eastAsia="Arial" w:cs="Arial"/>
          <w:sz w:val="24"/>
          <w:szCs w:val="24"/>
        </w:rPr>
        <w:t xml:space="preserve">) </w:t>
      </w:r>
      <w:r w:rsidRPr="00E2407B">
        <w:rPr>
          <w:rFonts w:eastAsia="Arial" w:cs="Arial"/>
          <w:sz w:val="24"/>
          <w:szCs w:val="24"/>
        </w:rPr>
        <w:t>and C</w:t>
      </w:r>
      <w:r w:rsidRPr="00E2407B">
        <w:rPr>
          <w:rFonts w:eastAsia="Arial" w:cs="Arial"/>
          <w:sz w:val="24"/>
          <w:szCs w:val="24"/>
          <w:vertAlign w:val="subscript"/>
        </w:rPr>
        <w:t>12</w:t>
      </w:r>
      <w:r w:rsidRPr="00E2407B">
        <w:rPr>
          <w:rFonts w:eastAsia="Arial" w:cs="Arial"/>
          <w:sz w:val="24"/>
          <w:szCs w:val="24"/>
        </w:rPr>
        <w:t xml:space="preserve"> (0.2-0.4 mg/mL</w:t>
      </w:r>
      <w:r w:rsidR="004F3D2C">
        <w:rPr>
          <w:rFonts w:eastAsia="Arial" w:cs="Arial"/>
          <w:sz w:val="24"/>
          <w:szCs w:val="24"/>
        </w:rPr>
        <w:t>; Fig. 4 (iv)</w:t>
      </w:r>
      <w:r w:rsidRPr="00E2407B">
        <w:rPr>
          <w:rFonts w:eastAsia="Arial" w:cs="Arial"/>
          <w:sz w:val="24"/>
          <w:szCs w:val="24"/>
        </w:rPr>
        <w:t>) did not alter tissue morphology. At higher concentrations of C</w:t>
      </w:r>
      <w:r w:rsidRPr="00E2407B">
        <w:rPr>
          <w:rFonts w:eastAsia="Arial" w:cs="Arial"/>
          <w:sz w:val="24"/>
          <w:szCs w:val="24"/>
          <w:vertAlign w:val="subscript"/>
        </w:rPr>
        <w:t>10</w:t>
      </w:r>
      <w:r w:rsidRPr="00E2407B">
        <w:rPr>
          <w:rFonts w:eastAsia="Arial" w:cs="Arial"/>
          <w:sz w:val="24"/>
          <w:szCs w:val="24"/>
        </w:rPr>
        <w:t xml:space="preserve"> (1 mg/mL), and C</w:t>
      </w:r>
      <w:r w:rsidRPr="00E2407B">
        <w:rPr>
          <w:rFonts w:eastAsia="Arial" w:cs="Arial"/>
          <w:sz w:val="24"/>
          <w:szCs w:val="24"/>
          <w:vertAlign w:val="subscript"/>
        </w:rPr>
        <w:t>11:1</w:t>
      </w:r>
      <w:r w:rsidRPr="00E2407B">
        <w:rPr>
          <w:rFonts w:eastAsia="Arial" w:cs="Arial"/>
          <w:sz w:val="24"/>
          <w:szCs w:val="24"/>
        </w:rPr>
        <w:t xml:space="preserve"> (0.8-1 mg/mL) there was mild perturbation. Importantly, apical-side </w:t>
      </w:r>
      <w:r w:rsidR="00A35535" w:rsidRPr="00A35535">
        <w:rPr>
          <w:rFonts w:eastAsia="Arial" w:cs="Arial"/>
          <w:sz w:val="24"/>
          <w:szCs w:val="24"/>
        </w:rPr>
        <w:t>exposure of the intestinal epithelium to combinations of Labrasol® (1 mg/mL) + C</w:t>
      </w:r>
      <w:r w:rsidR="00A35535" w:rsidRPr="00A35535">
        <w:rPr>
          <w:rFonts w:eastAsia="Arial" w:cs="Arial"/>
          <w:sz w:val="24"/>
          <w:szCs w:val="24"/>
          <w:vertAlign w:val="subscript"/>
        </w:rPr>
        <w:t>10</w:t>
      </w:r>
      <w:r w:rsidR="00A35535" w:rsidRPr="00A35535">
        <w:rPr>
          <w:rFonts w:eastAsia="Arial" w:cs="Arial"/>
          <w:sz w:val="24"/>
          <w:szCs w:val="24"/>
        </w:rPr>
        <w:t xml:space="preserve"> (0.5-0.8 mg/mL) did not cause appreciable mucosal damage. There was some minor focal aberration, but the epithelium remained continuous and the submucosa was </w:t>
      </w:r>
      <w:r w:rsidR="00305A92">
        <w:rPr>
          <w:rFonts w:eastAsia="Arial" w:cs="Arial"/>
          <w:sz w:val="24"/>
          <w:szCs w:val="24"/>
        </w:rPr>
        <w:t xml:space="preserve">comparable to untreated control.  </w:t>
      </w:r>
      <w:r w:rsidR="00B478AB">
        <w:rPr>
          <w:rFonts w:eastAsia="Arial" w:cs="Arial"/>
          <w:sz w:val="24"/>
          <w:szCs w:val="24"/>
        </w:rPr>
        <w:t xml:space="preserve">However, </w:t>
      </w:r>
      <w:r w:rsidR="008672C2">
        <w:rPr>
          <w:rFonts w:eastAsia="Arial" w:cs="Arial"/>
          <w:sz w:val="24"/>
          <w:szCs w:val="24"/>
        </w:rPr>
        <w:t xml:space="preserve">a </w:t>
      </w:r>
      <w:r w:rsidRPr="00E2407B">
        <w:rPr>
          <w:rFonts w:eastAsia="Arial" w:cs="Arial"/>
          <w:sz w:val="24"/>
          <w:szCs w:val="24"/>
        </w:rPr>
        <w:t>high</w:t>
      </w:r>
      <w:r w:rsidR="008672C2">
        <w:rPr>
          <w:rFonts w:eastAsia="Arial" w:cs="Arial"/>
          <w:sz w:val="24"/>
          <w:szCs w:val="24"/>
        </w:rPr>
        <w:t>er</w:t>
      </w:r>
      <w:r w:rsidRPr="00E2407B">
        <w:rPr>
          <w:rFonts w:eastAsia="Arial" w:cs="Arial"/>
          <w:sz w:val="24"/>
          <w:szCs w:val="24"/>
        </w:rPr>
        <w:t xml:space="preserve"> concentration</w:t>
      </w:r>
      <w:r w:rsidR="008672C2">
        <w:rPr>
          <w:rFonts w:eastAsia="Arial" w:cs="Arial"/>
          <w:sz w:val="24"/>
          <w:szCs w:val="24"/>
        </w:rPr>
        <w:t xml:space="preserve"> of</w:t>
      </w:r>
      <w:r w:rsidR="00B478AB">
        <w:rPr>
          <w:rFonts w:eastAsia="Arial" w:cs="Arial"/>
          <w:sz w:val="24"/>
          <w:szCs w:val="24"/>
        </w:rPr>
        <w:t xml:space="preserve"> </w:t>
      </w:r>
      <w:r w:rsidR="008672C2" w:rsidRPr="00E2407B">
        <w:rPr>
          <w:rFonts w:eastAsia="Arial" w:cs="Arial"/>
          <w:sz w:val="24"/>
          <w:szCs w:val="24"/>
        </w:rPr>
        <w:t>C</w:t>
      </w:r>
      <w:r w:rsidR="008672C2" w:rsidRPr="00E2407B">
        <w:rPr>
          <w:rFonts w:eastAsia="Arial" w:cs="Arial"/>
          <w:sz w:val="24"/>
          <w:szCs w:val="24"/>
          <w:vertAlign w:val="subscript"/>
        </w:rPr>
        <w:t>10</w:t>
      </w:r>
      <w:r w:rsidR="00B478AB" w:rsidRPr="00CE2316">
        <w:rPr>
          <w:rFonts w:eastAsia="Arial"/>
          <w:sz w:val="24"/>
          <w:vertAlign w:val="subscript"/>
        </w:rPr>
        <w:t xml:space="preserve"> </w:t>
      </w:r>
      <w:r w:rsidR="00B478AB">
        <w:rPr>
          <w:rFonts w:eastAsia="Arial" w:cs="Arial"/>
          <w:sz w:val="24"/>
          <w:szCs w:val="24"/>
        </w:rPr>
        <w:t>(1 mg/mL)</w:t>
      </w:r>
      <w:r w:rsidRPr="00E2407B">
        <w:rPr>
          <w:rFonts w:eastAsia="Arial" w:cs="Arial"/>
          <w:sz w:val="24"/>
          <w:szCs w:val="24"/>
        </w:rPr>
        <w:t xml:space="preserve">, </w:t>
      </w:r>
      <w:r w:rsidR="00305A92">
        <w:rPr>
          <w:rFonts w:eastAsia="Arial" w:cs="Arial"/>
          <w:sz w:val="24"/>
          <w:szCs w:val="24"/>
        </w:rPr>
        <w:t>ad-</w:t>
      </w:r>
      <w:r w:rsidR="008672C2">
        <w:rPr>
          <w:rFonts w:eastAsia="Arial" w:cs="Arial"/>
          <w:sz w:val="24"/>
          <w:szCs w:val="24"/>
        </w:rPr>
        <w:t>mix</w:t>
      </w:r>
      <w:r w:rsidR="00B478AB">
        <w:rPr>
          <w:rFonts w:eastAsia="Arial" w:cs="Arial"/>
          <w:sz w:val="24"/>
          <w:szCs w:val="24"/>
        </w:rPr>
        <w:t>ed</w:t>
      </w:r>
      <w:r w:rsidR="008672C2">
        <w:rPr>
          <w:rFonts w:eastAsia="Arial" w:cs="Arial"/>
          <w:sz w:val="24"/>
          <w:szCs w:val="24"/>
        </w:rPr>
        <w:t xml:space="preserve"> with </w:t>
      </w:r>
      <w:r w:rsidR="00BB7513">
        <w:rPr>
          <w:rFonts w:eastAsia="Arial" w:cs="Arial"/>
          <w:sz w:val="24"/>
          <w:szCs w:val="24"/>
        </w:rPr>
        <w:t xml:space="preserve">the same concentration of </w:t>
      </w:r>
      <w:r w:rsidR="008672C2" w:rsidRPr="008672C2">
        <w:rPr>
          <w:rFonts w:eastAsia="Arial" w:cs="Arial"/>
          <w:sz w:val="24"/>
          <w:szCs w:val="24"/>
        </w:rPr>
        <w:t xml:space="preserve">Labrasol® (1 mg/mL) </w:t>
      </w:r>
      <w:r w:rsidRPr="00E2407B">
        <w:rPr>
          <w:rFonts w:eastAsia="Arial" w:cs="Arial"/>
          <w:sz w:val="24"/>
          <w:szCs w:val="24"/>
        </w:rPr>
        <w:t xml:space="preserve">caused </w:t>
      </w:r>
      <w:r w:rsidR="00BB7513">
        <w:rPr>
          <w:rFonts w:eastAsia="Arial" w:cs="Arial"/>
          <w:sz w:val="24"/>
          <w:szCs w:val="24"/>
        </w:rPr>
        <w:t xml:space="preserve">a degree of </w:t>
      </w:r>
      <w:r w:rsidRPr="00E2407B">
        <w:rPr>
          <w:rFonts w:eastAsia="Arial" w:cs="Arial"/>
          <w:sz w:val="24"/>
          <w:szCs w:val="24"/>
        </w:rPr>
        <w:t>sloughing and mild focal perturbation of the epithelium</w:t>
      </w:r>
      <w:r w:rsidR="00BB7513">
        <w:rPr>
          <w:rFonts w:eastAsia="Arial" w:cs="Arial"/>
          <w:sz w:val="24"/>
          <w:szCs w:val="24"/>
        </w:rPr>
        <w:t>, noting that the epithelium was still intact</w:t>
      </w:r>
      <w:r w:rsidRPr="00E2407B">
        <w:rPr>
          <w:rFonts w:eastAsia="Arial" w:cs="Arial"/>
          <w:sz w:val="24"/>
          <w:szCs w:val="24"/>
        </w:rPr>
        <w:t>. Intestinal damage was observed at all test concentrations of mixtures of Labrasol® + C</w:t>
      </w:r>
      <w:r w:rsidRPr="00E2407B">
        <w:rPr>
          <w:rFonts w:eastAsia="Arial" w:cs="Arial"/>
          <w:sz w:val="24"/>
          <w:szCs w:val="24"/>
          <w:vertAlign w:val="subscript"/>
        </w:rPr>
        <w:t>11:1</w:t>
      </w:r>
      <w:r w:rsidR="0047629D">
        <w:rPr>
          <w:rFonts w:eastAsia="Arial" w:cs="Arial"/>
          <w:sz w:val="24"/>
          <w:szCs w:val="24"/>
        </w:rPr>
        <w:t xml:space="preserve"> </w:t>
      </w:r>
      <w:r w:rsidRPr="00E2407B">
        <w:rPr>
          <w:rFonts w:eastAsia="Arial" w:cs="Arial"/>
          <w:sz w:val="24"/>
          <w:szCs w:val="24"/>
        </w:rPr>
        <w:t>and Labrasol® + C</w:t>
      </w:r>
      <w:r w:rsidRPr="00E2407B">
        <w:rPr>
          <w:rFonts w:eastAsia="Arial" w:cs="Arial"/>
          <w:sz w:val="24"/>
          <w:szCs w:val="24"/>
          <w:vertAlign w:val="subscript"/>
        </w:rPr>
        <w:t>12</w:t>
      </w:r>
      <w:r w:rsidRPr="00E2407B">
        <w:rPr>
          <w:rFonts w:eastAsia="Arial" w:cs="Arial"/>
          <w:sz w:val="24"/>
          <w:szCs w:val="24"/>
        </w:rPr>
        <w:t>. Interaction of Labrasol® + C</w:t>
      </w:r>
      <w:r w:rsidRPr="00E2407B">
        <w:rPr>
          <w:rFonts w:eastAsia="Arial" w:cs="Arial"/>
          <w:sz w:val="24"/>
          <w:szCs w:val="24"/>
          <w:vertAlign w:val="subscript"/>
        </w:rPr>
        <w:t>11:1</w:t>
      </w:r>
      <w:r w:rsidRPr="00E2407B">
        <w:rPr>
          <w:rFonts w:eastAsia="Arial" w:cs="Arial"/>
          <w:sz w:val="24"/>
          <w:szCs w:val="24"/>
        </w:rPr>
        <w:t xml:space="preserve"> led to cell exfoliation and more uniform surface abrasion than combinations of Labrasol® + C</w:t>
      </w:r>
      <w:r w:rsidRPr="00E2407B">
        <w:rPr>
          <w:rFonts w:eastAsia="Arial" w:cs="Arial"/>
          <w:sz w:val="24"/>
          <w:szCs w:val="24"/>
          <w:vertAlign w:val="subscript"/>
        </w:rPr>
        <w:t>10</w:t>
      </w:r>
      <w:r w:rsidRPr="00E2407B">
        <w:rPr>
          <w:rFonts w:eastAsia="Arial" w:cs="Arial"/>
          <w:sz w:val="24"/>
          <w:szCs w:val="24"/>
        </w:rPr>
        <w:t>. Combinations of Labrasol® + C</w:t>
      </w:r>
      <w:r w:rsidRPr="00E2407B">
        <w:rPr>
          <w:rFonts w:eastAsia="Arial" w:cs="Arial"/>
          <w:sz w:val="24"/>
          <w:szCs w:val="24"/>
          <w:vertAlign w:val="subscript"/>
        </w:rPr>
        <w:t>12</w:t>
      </w:r>
      <w:r w:rsidRPr="00E2407B">
        <w:rPr>
          <w:rFonts w:eastAsia="Arial" w:cs="Arial"/>
          <w:sz w:val="24"/>
          <w:szCs w:val="24"/>
        </w:rPr>
        <w:t xml:space="preserve"> (0.2-0.4 mg/mL) caused more extensive mucosal injury compared with test treatments containing C</w:t>
      </w:r>
      <w:r w:rsidRPr="00E2407B">
        <w:rPr>
          <w:rFonts w:eastAsia="Arial" w:cs="Arial"/>
          <w:sz w:val="24"/>
          <w:szCs w:val="24"/>
          <w:vertAlign w:val="subscript"/>
        </w:rPr>
        <w:t>10</w:t>
      </w:r>
      <w:r w:rsidRPr="00E2407B">
        <w:rPr>
          <w:rFonts w:eastAsia="Arial" w:cs="Arial"/>
          <w:sz w:val="24"/>
          <w:szCs w:val="24"/>
        </w:rPr>
        <w:t xml:space="preserve"> and C</w:t>
      </w:r>
      <w:r w:rsidRPr="00E2407B">
        <w:rPr>
          <w:rFonts w:eastAsia="Arial" w:cs="Arial"/>
          <w:sz w:val="24"/>
          <w:szCs w:val="24"/>
          <w:vertAlign w:val="subscript"/>
        </w:rPr>
        <w:t>11:1</w:t>
      </w:r>
      <w:r w:rsidRPr="00E2407B">
        <w:rPr>
          <w:rFonts w:eastAsia="Arial" w:cs="Arial"/>
          <w:sz w:val="24"/>
          <w:szCs w:val="24"/>
        </w:rPr>
        <w:t>. Here, there was diffuse denudation of the epithelium and extensive perturbation of the sub-mucosa at the highest concentrations of each agent tested. In summary, the highest concentrations tested of C</w:t>
      </w:r>
      <w:r w:rsidRPr="00E2407B">
        <w:rPr>
          <w:rFonts w:eastAsia="Arial" w:cs="Arial"/>
          <w:sz w:val="24"/>
          <w:szCs w:val="24"/>
          <w:vertAlign w:val="subscript"/>
        </w:rPr>
        <w:t>10</w:t>
      </w:r>
      <w:r w:rsidRPr="00E2407B">
        <w:rPr>
          <w:rFonts w:eastAsia="Arial" w:cs="Arial"/>
          <w:sz w:val="24"/>
          <w:szCs w:val="24"/>
        </w:rPr>
        <w:t xml:space="preserve"> and C</w:t>
      </w:r>
      <w:r w:rsidRPr="00E2407B">
        <w:rPr>
          <w:rFonts w:eastAsia="Arial" w:cs="Arial"/>
          <w:sz w:val="24"/>
          <w:szCs w:val="24"/>
          <w:vertAlign w:val="subscript"/>
        </w:rPr>
        <w:t>11:1</w:t>
      </w:r>
      <w:r w:rsidRPr="00E2407B">
        <w:rPr>
          <w:rFonts w:eastAsia="Arial" w:cs="Arial"/>
          <w:sz w:val="24"/>
          <w:szCs w:val="24"/>
        </w:rPr>
        <w:t xml:space="preserve"> caused mild mucosal perturbation. The majority of Labrasol®</w:t>
      </w:r>
      <w:r w:rsidR="004F3D2C">
        <w:rPr>
          <w:rFonts w:eastAsia="Arial" w:cs="Arial"/>
          <w:sz w:val="24"/>
          <w:szCs w:val="24"/>
        </w:rPr>
        <w:t>-</w:t>
      </w:r>
      <w:r w:rsidRPr="00E2407B">
        <w:rPr>
          <w:rFonts w:eastAsia="Arial" w:cs="Arial"/>
          <w:sz w:val="24"/>
          <w:szCs w:val="24"/>
        </w:rPr>
        <w:t xml:space="preserve"> MCFA combinations accentuated the morphological damage compared to individual treatments.</w:t>
      </w:r>
    </w:p>
    <w:p w14:paraId="1B15AE12" w14:textId="77777777" w:rsidR="00E2407B" w:rsidRDefault="00E2407B" w:rsidP="00E2407B">
      <w:pPr>
        <w:spacing w:after="300" w:line="360" w:lineRule="auto"/>
        <w:rPr>
          <w:rFonts w:eastAsia="Arial" w:cs="Arial"/>
          <w:b/>
          <w:sz w:val="24"/>
          <w:szCs w:val="24"/>
        </w:rPr>
      </w:pPr>
    </w:p>
    <w:p w14:paraId="29C3ABFA" w14:textId="77777777" w:rsidR="00720511" w:rsidRPr="00E2407B" w:rsidRDefault="00942B2B" w:rsidP="00E2407B">
      <w:pPr>
        <w:spacing w:line="360" w:lineRule="auto"/>
        <w:rPr>
          <w:rFonts w:eastAsia="Arial" w:cs="Arial"/>
          <w:b/>
          <w:sz w:val="24"/>
          <w:szCs w:val="24"/>
        </w:rPr>
      </w:pPr>
      <w:r w:rsidRPr="00E2407B">
        <w:rPr>
          <w:rFonts w:eastAsia="Arial" w:cs="Arial"/>
          <w:b/>
          <w:sz w:val="24"/>
          <w:szCs w:val="24"/>
        </w:rPr>
        <w:t>DISCUSSION</w:t>
      </w:r>
    </w:p>
    <w:p w14:paraId="462B1ABA" w14:textId="15C87A51" w:rsidR="001F3150" w:rsidRDefault="00942B2B" w:rsidP="007E40D5">
      <w:pPr>
        <w:spacing w:after="300" w:line="360" w:lineRule="auto"/>
        <w:rPr>
          <w:rFonts w:eastAsia="Arial" w:cs="Arial"/>
          <w:sz w:val="24"/>
          <w:szCs w:val="24"/>
        </w:rPr>
      </w:pPr>
      <w:r w:rsidRPr="00E2407B">
        <w:rPr>
          <w:rFonts w:eastAsia="Arial" w:cs="Arial"/>
          <w:sz w:val="24"/>
          <w:szCs w:val="24"/>
        </w:rPr>
        <w:t>Combining Labrasol® with low concentrations of MCFAs increased permeability of FD4 in isolated rat colonic mucosae compared with individual treatments. These findings are relevant because mixing Labrasol® with C</w:t>
      </w:r>
      <w:r w:rsidRPr="00E2407B">
        <w:rPr>
          <w:rFonts w:eastAsia="Arial" w:cs="Arial"/>
          <w:sz w:val="24"/>
          <w:szCs w:val="24"/>
          <w:vertAlign w:val="subscript"/>
        </w:rPr>
        <w:t>10</w:t>
      </w:r>
      <w:r w:rsidRPr="00E2407B">
        <w:rPr>
          <w:rFonts w:eastAsia="Arial" w:cs="Arial"/>
          <w:sz w:val="24"/>
          <w:szCs w:val="24"/>
        </w:rPr>
        <w:t>, C</w:t>
      </w:r>
      <w:r w:rsidRPr="00E2407B">
        <w:rPr>
          <w:rFonts w:eastAsia="Arial" w:cs="Arial"/>
          <w:sz w:val="24"/>
          <w:szCs w:val="24"/>
          <w:vertAlign w:val="subscript"/>
        </w:rPr>
        <w:t>11:1</w:t>
      </w:r>
      <w:r w:rsidRPr="00E2407B">
        <w:rPr>
          <w:rFonts w:eastAsia="Arial" w:cs="Arial"/>
          <w:sz w:val="24"/>
          <w:szCs w:val="24"/>
        </w:rPr>
        <w:t xml:space="preserve"> or C</w:t>
      </w:r>
      <w:r w:rsidRPr="00E2407B">
        <w:rPr>
          <w:rFonts w:eastAsia="Arial" w:cs="Arial"/>
          <w:sz w:val="24"/>
          <w:szCs w:val="24"/>
          <w:vertAlign w:val="subscript"/>
        </w:rPr>
        <w:t>12</w:t>
      </w:r>
      <w:r w:rsidRPr="00E2407B">
        <w:rPr>
          <w:rFonts w:eastAsia="Arial" w:cs="Arial"/>
          <w:sz w:val="24"/>
          <w:szCs w:val="24"/>
        </w:rPr>
        <w:t xml:space="preserve"> in emulsion-based oral delivery systems could help to reduce the concentrations of surfactant-based PEs required to improve permeability of macromolecules.  Preclinical studies have demonstrated that dispersion of BCS Class III hydrophilic drugs in Labrasol® improves intestinal absorption. For example, the </w:t>
      </w:r>
      <w:r w:rsidR="003D59C2">
        <w:rPr>
          <w:rFonts w:eastAsia="Arial" w:cs="Arial"/>
          <w:sz w:val="24"/>
          <w:szCs w:val="24"/>
        </w:rPr>
        <w:t xml:space="preserve">oral </w:t>
      </w:r>
      <w:r w:rsidRPr="00E2407B">
        <w:rPr>
          <w:rFonts w:eastAsia="Arial" w:cs="Arial"/>
          <w:sz w:val="24"/>
          <w:szCs w:val="24"/>
        </w:rPr>
        <w:t xml:space="preserve">BA of gentamicin sulphate from </w:t>
      </w:r>
      <w:r w:rsidR="003D59C2">
        <w:rPr>
          <w:rFonts w:eastAsia="Arial" w:cs="Arial"/>
          <w:sz w:val="24"/>
          <w:szCs w:val="24"/>
        </w:rPr>
        <w:t>solution-filled</w:t>
      </w:r>
      <w:r w:rsidR="00443F08">
        <w:rPr>
          <w:rFonts w:eastAsia="Arial" w:cs="Arial"/>
          <w:sz w:val="24"/>
          <w:szCs w:val="24"/>
        </w:rPr>
        <w:t xml:space="preserve"> enteric-coated </w:t>
      </w:r>
      <w:r w:rsidR="003D59C2" w:rsidRPr="003D59C2">
        <w:rPr>
          <w:rFonts w:eastAsia="Arial" w:cs="Arial"/>
          <w:sz w:val="24"/>
          <w:szCs w:val="24"/>
        </w:rPr>
        <w:t xml:space="preserve">hydroxypropyl methylcellulose </w:t>
      </w:r>
      <w:r w:rsidR="003D59C2" w:rsidRPr="008672C2">
        <w:rPr>
          <w:rFonts w:eastAsia="Arial" w:cs="Arial"/>
          <w:sz w:val="24"/>
          <w:szCs w:val="24"/>
        </w:rPr>
        <w:t>(</w:t>
      </w:r>
      <w:r w:rsidR="003D59C2" w:rsidRPr="008672C2">
        <w:rPr>
          <w:rFonts w:eastAsia="Arial" w:cs="Arial"/>
          <w:bCs/>
          <w:sz w:val="24"/>
          <w:szCs w:val="24"/>
        </w:rPr>
        <w:t>HPMC</w:t>
      </w:r>
      <w:r w:rsidR="003D59C2" w:rsidRPr="008672C2">
        <w:rPr>
          <w:rFonts w:eastAsia="Arial" w:cs="Arial"/>
          <w:sz w:val="24"/>
          <w:szCs w:val="24"/>
        </w:rPr>
        <w:t>)</w:t>
      </w:r>
      <w:r w:rsidR="00443F08">
        <w:rPr>
          <w:rFonts w:eastAsia="Arial" w:cs="Arial"/>
          <w:sz w:val="24"/>
          <w:szCs w:val="24"/>
        </w:rPr>
        <w:t xml:space="preserve"> capsules comprising </w:t>
      </w:r>
      <w:r w:rsidR="003D59C2">
        <w:rPr>
          <w:rFonts w:eastAsia="Arial" w:cs="Arial"/>
          <w:sz w:val="24"/>
          <w:szCs w:val="24"/>
        </w:rPr>
        <w:t xml:space="preserve">50 mg gentamycin and 0.6 mL </w:t>
      </w:r>
      <w:r w:rsidRPr="00E2407B">
        <w:rPr>
          <w:rFonts w:eastAsia="Arial" w:cs="Arial"/>
          <w:sz w:val="24"/>
          <w:szCs w:val="24"/>
        </w:rPr>
        <w:t xml:space="preserve">Labrasol® administered to Beagle dogs </w:t>
      </w:r>
      <w:r w:rsidR="00443F08">
        <w:rPr>
          <w:rFonts w:eastAsia="Arial" w:cs="Arial"/>
          <w:sz w:val="24"/>
          <w:szCs w:val="24"/>
        </w:rPr>
        <w:t>ranged from 18-</w:t>
      </w:r>
      <w:r w:rsidRPr="00E2407B">
        <w:rPr>
          <w:rFonts w:eastAsia="Arial" w:cs="Arial"/>
          <w:sz w:val="24"/>
          <w:szCs w:val="24"/>
        </w:rPr>
        <w:t>22%</w:t>
      </w:r>
      <w:r w:rsidR="003D59C2">
        <w:rPr>
          <w:rFonts w:eastAsia="Arial" w:cs="Arial"/>
          <w:sz w:val="24"/>
          <w:szCs w:val="24"/>
        </w:rPr>
        <w:t xml:space="preserve"> depending on the Eudragit</w:t>
      </w:r>
      <w:r w:rsidR="003D59C2">
        <w:rPr>
          <w:rFonts w:eastAsia="Arial"/>
          <w:sz w:val="24"/>
          <w:szCs w:val="24"/>
        </w:rPr>
        <w:t>®</w:t>
      </w:r>
      <w:r w:rsidR="003D59C2">
        <w:rPr>
          <w:rFonts w:eastAsia="Arial" w:cs="Arial"/>
          <w:sz w:val="24"/>
          <w:szCs w:val="24"/>
        </w:rPr>
        <w:t xml:space="preserve"> type </w:t>
      </w:r>
      <w:r w:rsidRPr="00E2407B">
        <w:rPr>
          <w:rFonts w:eastAsia="Arial" w:cs="Arial"/>
          <w:sz w:val="24"/>
          <w:szCs w:val="24"/>
        </w:rPr>
        <w:t>[</w:t>
      </w:r>
      <w:r w:rsidRPr="00033581">
        <w:rPr>
          <w:rFonts w:eastAsia="Arial" w:cs="Arial"/>
          <w:sz w:val="24"/>
          <w:szCs w:val="24"/>
        </w:rPr>
        <w:t>3</w:t>
      </w:r>
      <w:r w:rsidR="003F021F" w:rsidRPr="00033581">
        <w:rPr>
          <w:rFonts w:eastAsia="Arial" w:cs="Arial"/>
          <w:sz w:val="24"/>
          <w:szCs w:val="24"/>
        </w:rPr>
        <w:t>5</w:t>
      </w:r>
      <w:r w:rsidRPr="00E2407B">
        <w:rPr>
          <w:rFonts w:eastAsia="Arial" w:cs="Arial"/>
          <w:sz w:val="24"/>
          <w:szCs w:val="24"/>
        </w:rPr>
        <w:t>]. This would suggest that this excipient is a useful starting point in formulation from which to design permeation enhancement capacity still further. MCFAs were considered here as appropriate PEs for blending with Labrasol® because they are i) physically compatible, ii)  in advanced clinical trials, iii)  used in the Chiasma’s TPE</w:t>
      </w:r>
      <w:r w:rsidRPr="00E2407B">
        <w:rPr>
          <w:rFonts w:eastAsia="Arial" w:cs="Arial"/>
          <w:sz w:val="24"/>
          <w:szCs w:val="24"/>
          <w:vertAlign w:val="superscript"/>
        </w:rPr>
        <w:t>TM</w:t>
      </w:r>
      <w:r w:rsidRPr="00E2407B">
        <w:rPr>
          <w:rFonts w:eastAsia="Arial" w:cs="Arial"/>
          <w:sz w:val="24"/>
          <w:szCs w:val="24"/>
        </w:rPr>
        <w:t xml:space="preserve"> oral octreotide delivery system.  Furthermore, surfactant-based PEs including MCFAs reduce the droplet size of oil-in-water dispersions containing Labrasol® [</w:t>
      </w:r>
      <w:hyperlink w:anchor="_2jxsxqh">
        <w:r w:rsidRPr="00E2407B">
          <w:rPr>
            <w:rFonts w:eastAsia="Arial" w:cs="Arial"/>
            <w:sz w:val="24"/>
            <w:szCs w:val="24"/>
          </w:rPr>
          <w:t>17</w:t>
        </w:r>
      </w:hyperlink>
      <w:r w:rsidRPr="00E2407B">
        <w:rPr>
          <w:rFonts w:eastAsia="Arial" w:cs="Arial"/>
          <w:sz w:val="24"/>
          <w:szCs w:val="24"/>
        </w:rPr>
        <w:t>].</w:t>
      </w:r>
    </w:p>
    <w:p w14:paraId="7EAD22DD" w14:textId="61A456D7" w:rsidR="00720511" w:rsidRPr="00E2407B" w:rsidRDefault="00942B2B" w:rsidP="00E2407B">
      <w:pPr>
        <w:spacing w:after="300" w:line="360" w:lineRule="auto"/>
        <w:rPr>
          <w:rFonts w:eastAsia="Arial" w:cs="Arial"/>
          <w:sz w:val="24"/>
          <w:szCs w:val="24"/>
        </w:rPr>
      </w:pPr>
      <w:r w:rsidRPr="00E2407B">
        <w:rPr>
          <w:rFonts w:eastAsia="Arial" w:cs="Arial"/>
          <w:sz w:val="24"/>
          <w:szCs w:val="24"/>
        </w:rPr>
        <w:t>The current study shows that combinations of relatively low concentrations of Labrasol® with MCFAs increased intestinal permeation over either treatment alone at similar concentrations. The permeation enhancement action of 1</w:t>
      </w:r>
      <w:r w:rsidR="003F783A">
        <w:rPr>
          <w:rFonts w:eastAsia="Arial" w:cs="Arial"/>
          <w:sz w:val="24"/>
          <w:szCs w:val="24"/>
        </w:rPr>
        <w:t xml:space="preserve"> </w:t>
      </w:r>
      <w:r w:rsidRPr="00E2407B">
        <w:rPr>
          <w:rFonts w:eastAsia="Arial" w:cs="Arial"/>
          <w:sz w:val="24"/>
          <w:szCs w:val="24"/>
        </w:rPr>
        <w:t>mg/mL Labrasol® with MCFA was comparable to that achieved with higher concentrations of C</w:t>
      </w:r>
      <w:r w:rsidRPr="00E2407B">
        <w:rPr>
          <w:rFonts w:eastAsia="Arial" w:cs="Arial"/>
          <w:sz w:val="24"/>
          <w:szCs w:val="24"/>
          <w:vertAlign w:val="subscript"/>
        </w:rPr>
        <w:t>10</w:t>
      </w:r>
      <w:r w:rsidRPr="00E2407B">
        <w:rPr>
          <w:rFonts w:eastAsia="Arial" w:cs="Arial"/>
          <w:sz w:val="24"/>
          <w:szCs w:val="24"/>
        </w:rPr>
        <w:t xml:space="preserve">, typically used as a benchmark for high enhancement potential (i.e. </w:t>
      </w:r>
      <w:r w:rsidR="00652C3A" w:rsidRPr="00E2407B">
        <w:rPr>
          <w:rFonts w:eastAsia="Arial" w:cs="Arial"/>
          <w:sz w:val="24"/>
          <w:szCs w:val="24"/>
        </w:rPr>
        <w:t>1.9-2.5</w:t>
      </w:r>
      <w:r w:rsidRPr="00E2407B">
        <w:rPr>
          <w:rFonts w:eastAsia="Arial" w:cs="Arial"/>
          <w:sz w:val="24"/>
          <w:szCs w:val="24"/>
        </w:rPr>
        <w:t xml:space="preserve"> mg/mL,</w:t>
      </w:r>
      <w:r w:rsidR="003850FE" w:rsidRPr="00E2407B">
        <w:rPr>
          <w:rFonts w:eastAsia="Arial" w:cs="Arial"/>
          <w:sz w:val="24"/>
          <w:szCs w:val="24"/>
        </w:rPr>
        <w:t xml:space="preserve"> equivalent to</w:t>
      </w:r>
      <w:r w:rsidRPr="00E2407B">
        <w:rPr>
          <w:rFonts w:eastAsia="Arial" w:cs="Arial"/>
          <w:sz w:val="24"/>
          <w:szCs w:val="24"/>
        </w:rPr>
        <w:t xml:space="preserve"> 10</w:t>
      </w:r>
      <w:r w:rsidR="00652C3A" w:rsidRPr="00E2407B">
        <w:rPr>
          <w:rFonts w:eastAsia="Arial" w:cs="Arial"/>
          <w:sz w:val="24"/>
          <w:szCs w:val="24"/>
        </w:rPr>
        <w:t>-13</w:t>
      </w:r>
      <w:r w:rsidRPr="00E2407B">
        <w:rPr>
          <w:rFonts w:eastAsia="Arial" w:cs="Arial"/>
          <w:sz w:val="24"/>
          <w:szCs w:val="24"/>
        </w:rPr>
        <w:t xml:space="preserve"> </w:t>
      </w:r>
      <w:r w:rsidRPr="00033581">
        <w:rPr>
          <w:rFonts w:eastAsia="Arial" w:cs="Arial"/>
          <w:sz w:val="24"/>
          <w:szCs w:val="24"/>
        </w:rPr>
        <w:t>mM [</w:t>
      </w:r>
      <w:r w:rsidR="0032504C" w:rsidRPr="00033581">
        <w:rPr>
          <w:rFonts w:eastAsia="Arial" w:cs="Arial"/>
          <w:sz w:val="24"/>
          <w:szCs w:val="24"/>
        </w:rPr>
        <w:t>3</w:t>
      </w:r>
      <w:hyperlink w:anchor="_41mghml">
        <w:r w:rsidR="003F021F" w:rsidRPr="004D4894">
          <w:rPr>
            <w:rFonts w:eastAsia="Arial" w:cs="Arial"/>
            <w:sz w:val="24"/>
            <w:szCs w:val="24"/>
          </w:rPr>
          <w:t>6</w:t>
        </w:r>
      </w:hyperlink>
      <w:r w:rsidRPr="00033581">
        <w:rPr>
          <w:rFonts w:eastAsia="Arial" w:cs="Arial"/>
          <w:sz w:val="24"/>
          <w:szCs w:val="24"/>
        </w:rPr>
        <w:t xml:space="preserve">]). Exactly how these dispersions improve permeability has not been elucidated. </w:t>
      </w:r>
      <w:r w:rsidR="00AA2364" w:rsidRPr="00AC41F9">
        <w:rPr>
          <w:rFonts w:eastAsia="Arial" w:cs="Arial"/>
          <w:sz w:val="24"/>
          <w:szCs w:val="24"/>
        </w:rPr>
        <w:t>M</w:t>
      </w:r>
      <w:r w:rsidRPr="00D17C50">
        <w:rPr>
          <w:rFonts w:eastAsia="Arial" w:cs="Arial"/>
          <w:sz w:val="24"/>
          <w:szCs w:val="24"/>
        </w:rPr>
        <w:t>ixtures of non-ionic and anionic surfactants are known to be more effective detergents</w:t>
      </w:r>
      <w:r w:rsidR="00AA2364" w:rsidRPr="00AA2364">
        <w:rPr>
          <w:rFonts w:eastAsia="Arial" w:cs="Arial"/>
          <w:sz w:val="24"/>
          <w:szCs w:val="24"/>
        </w:rPr>
        <w:t xml:space="preserve"> than when used stand-alone</w:t>
      </w:r>
      <w:r w:rsidRPr="00AA2364">
        <w:rPr>
          <w:rFonts w:eastAsia="Arial" w:cs="Arial"/>
          <w:sz w:val="24"/>
          <w:szCs w:val="24"/>
        </w:rPr>
        <w:t xml:space="preserve">, </w:t>
      </w:r>
      <w:r w:rsidR="00AA2364" w:rsidRPr="00AA2364">
        <w:rPr>
          <w:rFonts w:eastAsia="Arial" w:cs="Arial"/>
          <w:sz w:val="24"/>
          <w:szCs w:val="24"/>
        </w:rPr>
        <w:t xml:space="preserve">as they can </w:t>
      </w:r>
      <w:r w:rsidRPr="00AA2364">
        <w:rPr>
          <w:rFonts w:eastAsia="Arial" w:cs="Arial"/>
          <w:sz w:val="24"/>
          <w:szCs w:val="24"/>
        </w:rPr>
        <w:t>provid</w:t>
      </w:r>
      <w:r w:rsidR="00AA2364" w:rsidRPr="00AA2364">
        <w:rPr>
          <w:rFonts w:eastAsia="Arial" w:cs="Arial"/>
          <w:sz w:val="24"/>
          <w:szCs w:val="24"/>
        </w:rPr>
        <w:t>e</w:t>
      </w:r>
      <w:r w:rsidRPr="00AA2364">
        <w:rPr>
          <w:rFonts w:eastAsia="Arial" w:cs="Arial"/>
          <w:sz w:val="24"/>
          <w:szCs w:val="24"/>
        </w:rPr>
        <w:t xml:space="preserve"> an optimal balance between wetting, monomer penetration and solubilisation [</w:t>
      </w:r>
      <w:r w:rsidR="0032504C" w:rsidRPr="00AA2364">
        <w:rPr>
          <w:rFonts w:eastAsia="Arial" w:cs="Arial"/>
          <w:sz w:val="24"/>
          <w:szCs w:val="24"/>
        </w:rPr>
        <w:t>3</w:t>
      </w:r>
      <w:hyperlink w:anchor="_2grqrue">
        <w:r w:rsidR="003F021F" w:rsidRPr="004D4894">
          <w:rPr>
            <w:rFonts w:eastAsia="Arial" w:cs="Arial"/>
            <w:sz w:val="24"/>
            <w:szCs w:val="24"/>
          </w:rPr>
          <w:t>7</w:t>
        </w:r>
      </w:hyperlink>
      <w:r w:rsidRPr="00033581">
        <w:rPr>
          <w:rFonts w:eastAsia="Arial" w:cs="Arial"/>
          <w:sz w:val="24"/>
          <w:szCs w:val="24"/>
        </w:rPr>
        <w:t xml:space="preserve">, </w:t>
      </w:r>
      <w:r w:rsidR="0032504C" w:rsidRPr="00033581">
        <w:rPr>
          <w:rFonts w:eastAsia="Arial" w:cs="Arial"/>
          <w:sz w:val="24"/>
          <w:szCs w:val="24"/>
        </w:rPr>
        <w:t>3</w:t>
      </w:r>
      <w:hyperlink w:anchor="_vx1227">
        <w:r w:rsidR="003F021F" w:rsidRPr="004D4894">
          <w:rPr>
            <w:rFonts w:eastAsia="Arial" w:cs="Arial"/>
            <w:sz w:val="24"/>
            <w:szCs w:val="24"/>
          </w:rPr>
          <w:t>8</w:t>
        </w:r>
      </w:hyperlink>
      <w:r w:rsidRPr="00033581">
        <w:rPr>
          <w:rFonts w:eastAsia="Arial" w:cs="Arial"/>
          <w:sz w:val="24"/>
          <w:szCs w:val="24"/>
        </w:rPr>
        <w:t>]. The monomeric surfactant form is primarily responsible for detergent acti</w:t>
      </w:r>
      <w:r w:rsidRPr="004D4894">
        <w:rPr>
          <w:rFonts w:eastAsia="Arial" w:cs="Arial"/>
          <w:sz w:val="24"/>
          <w:szCs w:val="24"/>
        </w:rPr>
        <w:t>on associated with transcellular perturbation, while micelles promote solubilisation of membrane constituents and are reservoirs for efficient replenishment of monomers that are lost from solution upon interaction with enterocytes (reviewed in [</w:t>
      </w:r>
      <w:hyperlink w:anchor="_2jxsxqh">
        <w:r w:rsidRPr="00033581">
          <w:rPr>
            <w:rFonts w:eastAsia="Arial" w:cs="Arial"/>
            <w:sz w:val="24"/>
            <w:szCs w:val="24"/>
          </w:rPr>
          <w:t>17</w:t>
        </w:r>
      </w:hyperlink>
      <w:r w:rsidRPr="00033581">
        <w:rPr>
          <w:rFonts w:eastAsia="Arial" w:cs="Arial"/>
          <w:sz w:val="24"/>
          <w:szCs w:val="24"/>
        </w:rPr>
        <w:t xml:space="preserve">, </w:t>
      </w:r>
      <w:r w:rsidR="0032504C" w:rsidRPr="00033581">
        <w:rPr>
          <w:rFonts w:eastAsia="Arial" w:cs="Arial"/>
          <w:sz w:val="24"/>
          <w:szCs w:val="24"/>
        </w:rPr>
        <w:t>3</w:t>
      </w:r>
      <w:hyperlink w:anchor="_vx1227">
        <w:r w:rsidR="003F021F" w:rsidRPr="004D4894">
          <w:rPr>
            <w:rFonts w:eastAsia="Arial" w:cs="Arial"/>
            <w:sz w:val="24"/>
            <w:szCs w:val="24"/>
          </w:rPr>
          <w:t>8</w:t>
        </w:r>
      </w:hyperlink>
      <w:r w:rsidRPr="00033581">
        <w:rPr>
          <w:rFonts w:eastAsia="Arial" w:cs="Arial"/>
          <w:sz w:val="24"/>
          <w:szCs w:val="24"/>
        </w:rPr>
        <w:t>]).</w:t>
      </w:r>
    </w:p>
    <w:p w14:paraId="531F7B8F" w14:textId="677E07FC" w:rsidR="00720511" w:rsidRPr="00033581" w:rsidRDefault="00942B2B" w:rsidP="00E2407B">
      <w:pPr>
        <w:spacing w:after="300" w:line="360" w:lineRule="auto"/>
        <w:rPr>
          <w:rFonts w:eastAsia="Arial" w:cs="Arial"/>
          <w:sz w:val="24"/>
          <w:szCs w:val="24"/>
        </w:rPr>
      </w:pPr>
      <w:r w:rsidRPr="00E2407B">
        <w:rPr>
          <w:rFonts w:eastAsia="Arial" w:cs="Arial"/>
          <w:sz w:val="24"/>
          <w:szCs w:val="24"/>
        </w:rPr>
        <w:t>Dilution of Labrasol® in water results in a dynamic dispersion of micelles and nano-</w:t>
      </w:r>
      <w:r w:rsidR="009901DD" w:rsidRPr="00E2407B">
        <w:rPr>
          <w:rFonts w:eastAsia="Arial" w:cs="Arial"/>
          <w:sz w:val="24"/>
          <w:szCs w:val="24"/>
        </w:rPr>
        <w:t>dispersions</w:t>
      </w:r>
      <w:r w:rsidRPr="00E2407B">
        <w:rPr>
          <w:rFonts w:eastAsia="Arial" w:cs="Arial"/>
          <w:sz w:val="24"/>
          <w:szCs w:val="24"/>
        </w:rPr>
        <w:t xml:space="preserve"> of glycerides and soluble non-ionic ethoxylates in equilibrium with the free </w:t>
      </w:r>
      <w:r w:rsidRPr="00E2407B">
        <w:rPr>
          <w:rFonts w:eastAsia="Arial" w:cs="Arial"/>
          <w:sz w:val="24"/>
          <w:szCs w:val="24"/>
        </w:rPr>
        <w:lastRenderedPageBreak/>
        <w:t>molecular surfactant form. Addition of MCFAs to</w:t>
      </w:r>
      <w:r w:rsidR="009901DD" w:rsidRPr="00E2407B">
        <w:rPr>
          <w:rFonts w:eastAsia="Arial" w:cs="Arial"/>
          <w:sz w:val="24"/>
          <w:szCs w:val="24"/>
        </w:rPr>
        <w:t xml:space="preserve"> a</w:t>
      </w:r>
      <w:r w:rsidRPr="00E2407B">
        <w:rPr>
          <w:rFonts w:eastAsia="Arial" w:cs="Arial"/>
          <w:sz w:val="24"/>
          <w:szCs w:val="24"/>
        </w:rPr>
        <w:t xml:space="preserve"> microemulsion may alter the delicate balance between molecular forms and colloid</w:t>
      </w:r>
      <w:r w:rsidR="009901DD" w:rsidRPr="00E2407B">
        <w:rPr>
          <w:rFonts w:eastAsia="Arial" w:cs="Arial"/>
          <w:sz w:val="24"/>
          <w:szCs w:val="24"/>
        </w:rPr>
        <w:t>al</w:t>
      </w:r>
      <w:r w:rsidRPr="00E2407B">
        <w:rPr>
          <w:rFonts w:eastAsia="Arial" w:cs="Arial"/>
          <w:sz w:val="24"/>
          <w:szCs w:val="24"/>
        </w:rPr>
        <w:t xml:space="preserve"> structures by creating a mixed monomer population at higher concentrations.  Secondly, mixed micelles of anionic and non-ionic surfactants c</w:t>
      </w:r>
      <w:r w:rsidR="009901DD" w:rsidRPr="00E2407B">
        <w:rPr>
          <w:rFonts w:eastAsia="Arial" w:cs="Arial"/>
          <w:sz w:val="24"/>
          <w:szCs w:val="24"/>
        </w:rPr>
        <w:t xml:space="preserve">ould </w:t>
      </w:r>
      <w:r w:rsidRPr="00E2407B">
        <w:rPr>
          <w:rFonts w:eastAsia="Arial" w:cs="Arial"/>
          <w:sz w:val="24"/>
          <w:szCs w:val="24"/>
        </w:rPr>
        <w:t>alter the rate of monomer replenishment.   MCFA can also reduce microemulsion droplet size by acting with the macrogol-8 glycerides of Labrasol® to further decrease the interfacial tension between glycerides and water. In an oral insulin rat study, there was no evidence of a concentration-dependent relationship for permeation enhancement from lipoidal dispersions containing varying proportions of Labrasol®, Tween</w:t>
      </w:r>
      <w:r w:rsidRPr="00E2407B">
        <w:rPr>
          <w:rFonts w:eastAsia="Arial" w:cs="Arial"/>
          <w:sz w:val="24"/>
          <w:szCs w:val="24"/>
          <w:vertAlign w:val="superscript"/>
        </w:rPr>
        <w:t>®</w:t>
      </w:r>
      <w:r w:rsidRPr="00E2407B">
        <w:rPr>
          <w:rFonts w:eastAsia="Arial" w:cs="Arial"/>
          <w:sz w:val="24"/>
          <w:szCs w:val="24"/>
        </w:rPr>
        <w:t xml:space="preserve"> 20, propylene glycol, diglycerol ca</w:t>
      </w:r>
      <w:r w:rsidRPr="00033581">
        <w:rPr>
          <w:rFonts w:eastAsia="Arial" w:cs="Arial"/>
          <w:sz w:val="24"/>
          <w:szCs w:val="24"/>
        </w:rPr>
        <w:t>prylate [</w:t>
      </w:r>
      <w:r w:rsidR="003F021F" w:rsidRPr="00033581">
        <w:rPr>
          <w:rFonts w:eastAsia="Arial" w:cs="Arial"/>
          <w:sz w:val="24"/>
          <w:szCs w:val="24"/>
        </w:rPr>
        <w:t>39</w:t>
      </w:r>
      <w:r w:rsidRPr="004D4894">
        <w:rPr>
          <w:rFonts w:eastAsia="Arial" w:cs="Arial"/>
          <w:sz w:val="24"/>
          <w:szCs w:val="24"/>
        </w:rPr>
        <w:t>]. Rather, the greatest absorption of insulin from rat and canine intestinal instillations was observed with dispersions with the smallest particle size and the greatest surface area [</w:t>
      </w:r>
      <w:r w:rsidR="003F021F" w:rsidRPr="00AC41F9">
        <w:rPr>
          <w:rFonts w:eastAsia="Arial" w:cs="Arial"/>
          <w:sz w:val="24"/>
          <w:szCs w:val="24"/>
        </w:rPr>
        <w:t>39</w:t>
      </w:r>
      <w:r w:rsidRPr="00033581">
        <w:rPr>
          <w:rFonts w:eastAsia="Arial" w:cs="Arial"/>
          <w:sz w:val="24"/>
          <w:szCs w:val="24"/>
        </w:rPr>
        <w:t xml:space="preserve">]. We previously hypothesised that reducing droplet </w:t>
      </w:r>
      <w:r w:rsidRPr="004D4894">
        <w:rPr>
          <w:rFonts w:eastAsia="Arial" w:cs="Arial"/>
          <w:sz w:val="24"/>
          <w:szCs w:val="24"/>
        </w:rPr>
        <w:t xml:space="preserve">size may increase the surface area of </w:t>
      </w:r>
      <w:r w:rsidRPr="004D4894">
        <w:rPr>
          <w:rFonts w:eastAsia="Arial" w:cs="Arial"/>
          <w:color w:val="131413"/>
          <w:sz w:val="24"/>
          <w:szCs w:val="24"/>
        </w:rPr>
        <w:t>solvent/surfactant droplets to permit more efficient replenishment of the active monomeric form of surfactants and also to increase the concentration of monomeric surfactant in solution [</w:t>
      </w:r>
      <w:hyperlink w:anchor="_1ci93xb">
        <w:r w:rsidR="00D02355" w:rsidRPr="00CE2316">
          <w:rPr>
            <w:rFonts w:eastAsia="Arial" w:cs="Arial"/>
            <w:color w:val="131413"/>
            <w:sz w:val="24"/>
            <w:szCs w:val="24"/>
          </w:rPr>
          <w:t>25</w:t>
        </w:r>
      </w:hyperlink>
      <w:r w:rsidRPr="00033581">
        <w:rPr>
          <w:rFonts w:eastAsia="Arial" w:cs="Arial"/>
          <w:color w:val="131413"/>
          <w:sz w:val="24"/>
          <w:szCs w:val="24"/>
        </w:rPr>
        <w:t>].</w:t>
      </w:r>
    </w:p>
    <w:p w14:paraId="79D3FFC7" w14:textId="5811B87B" w:rsidR="00720511" w:rsidRPr="00E2407B" w:rsidRDefault="00942B2B" w:rsidP="00E2407B">
      <w:pPr>
        <w:spacing w:after="300" w:line="360" w:lineRule="auto"/>
        <w:rPr>
          <w:rFonts w:eastAsia="Arial" w:cs="Arial"/>
          <w:sz w:val="24"/>
          <w:szCs w:val="24"/>
        </w:rPr>
      </w:pPr>
      <w:r w:rsidRPr="004D4894">
        <w:rPr>
          <w:rFonts w:eastAsia="Arial" w:cs="Arial"/>
          <w:color w:val="131413"/>
          <w:sz w:val="24"/>
          <w:szCs w:val="24"/>
        </w:rPr>
        <w:t>Mixing surfactant-based PEs with lipids or other surface active agents has previously been shown to modulate enhancement. In one example, t</w:t>
      </w:r>
      <w:r w:rsidRPr="00AC41F9">
        <w:rPr>
          <w:rFonts w:eastAsia="Arial" w:cs="Arial"/>
          <w:sz w:val="24"/>
          <w:szCs w:val="24"/>
        </w:rPr>
        <w:t>he effect of alkyl maltopyranosides (C</w:t>
      </w:r>
      <w:r w:rsidRPr="00AC41F9">
        <w:rPr>
          <w:rFonts w:eastAsia="Arial" w:cs="Arial"/>
          <w:sz w:val="24"/>
          <w:szCs w:val="24"/>
          <w:vertAlign w:val="subscript"/>
        </w:rPr>
        <w:t>10</w:t>
      </w:r>
      <w:r w:rsidRPr="00D17C50">
        <w:rPr>
          <w:rFonts w:eastAsia="Arial" w:cs="Arial"/>
          <w:sz w:val="24"/>
          <w:szCs w:val="24"/>
        </w:rPr>
        <w:t>-C</w:t>
      </w:r>
      <w:r w:rsidRPr="00D17C50">
        <w:rPr>
          <w:rFonts w:eastAsia="Arial" w:cs="Arial"/>
          <w:sz w:val="24"/>
          <w:szCs w:val="24"/>
          <w:vertAlign w:val="subscript"/>
        </w:rPr>
        <w:t>14</w:t>
      </w:r>
      <w:r w:rsidRPr="00AA2364">
        <w:rPr>
          <w:rFonts w:eastAsia="Arial" w:cs="Arial"/>
          <w:sz w:val="24"/>
          <w:szCs w:val="24"/>
        </w:rPr>
        <w:t>) on Caco-2 monolayers was surprisingly attenuated by constituents of simulated intestinal fluid (phospholipids and bile salts) due to formation of mixed micelles [</w:t>
      </w:r>
      <w:r w:rsidR="0032504C" w:rsidRPr="00033581">
        <w:rPr>
          <w:rFonts w:eastAsia="Arial" w:cs="Arial"/>
          <w:sz w:val="24"/>
          <w:szCs w:val="24"/>
        </w:rPr>
        <w:t>4</w:t>
      </w:r>
      <w:hyperlink w:anchor="_1v1yuxt">
        <w:r w:rsidR="003F021F" w:rsidRPr="00033581">
          <w:rPr>
            <w:rFonts w:eastAsia="Arial" w:cs="Arial"/>
            <w:sz w:val="24"/>
            <w:szCs w:val="24"/>
          </w:rPr>
          <w:t>0</w:t>
        </w:r>
      </w:hyperlink>
      <w:r w:rsidRPr="00033581">
        <w:rPr>
          <w:rFonts w:eastAsia="Arial" w:cs="Arial"/>
          <w:sz w:val="24"/>
          <w:szCs w:val="24"/>
        </w:rPr>
        <w:t>]. In another, mixing bile salts with free fatty acids significantly increased absorption of h</w:t>
      </w:r>
      <w:r w:rsidRPr="004D4894">
        <w:rPr>
          <w:rFonts w:eastAsia="Arial" w:cs="Arial"/>
          <w:sz w:val="24"/>
          <w:szCs w:val="24"/>
        </w:rPr>
        <w:t xml:space="preserve">ydrophilic drugs in rats </w:t>
      </w:r>
      <w:r w:rsidRPr="004D4894">
        <w:rPr>
          <w:rFonts w:eastAsia="Arial" w:cs="Arial"/>
          <w:color w:val="131413"/>
          <w:sz w:val="24"/>
          <w:szCs w:val="24"/>
        </w:rPr>
        <w:t>[</w:t>
      </w:r>
      <w:r w:rsidR="0032504C" w:rsidRPr="004D4894">
        <w:rPr>
          <w:rFonts w:eastAsia="Arial" w:cs="Arial"/>
          <w:color w:val="131413"/>
          <w:sz w:val="24"/>
          <w:szCs w:val="24"/>
        </w:rPr>
        <w:t>2</w:t>
      </w:r>
      <w:hyperlink w:anchor="_3whwml4">
        <w:r w:rsidR="00D02355" w:rsidRPr="00CE2316">
          <w:rPr>
            <w:rFonts w:eastAsia="Arial" w:cs="Arial"/>
            <w:color w:val="131413"/>
            <w:sz w:val="24"/>
            <w:szCs w:val="24"/>
          </w:rPr>
          <w:t>6</w:t>
        </w:r>
      </w:hyperlink>
      <w:r w:rsidRPr="00033581">
        <w:rPr>
          <w:rFonts w:eastAsia="Arial" w:cs="Arial"/>
          <w:color w:val="131413"/>
          <w:sz w:val="24"/>
          <w:szCs w:val="24"/>
        </w:rPr>
        <w:t>].</w:t>
      </w:r>
      <w:r w:rsidRPr="00E2407B">
        <w:rPr>
          <w:rFonts w:eastAsia="Arial" w:cs="Arial"/>
          <w:color w:val="131413"/>
          <w:sz w:val="24"/>
          <w:szCs w:val="24"/>
        </w:rPr>
        <w:t xml:space="preserve"> In a </w:t>
      </w:r>
      <w:r w:rsidRPr="00E2407B">
        <w:rPr>
          <w:rFonts w:eastAsia="Arial" w:cs="Arial"/>
          <w:sz w:val="24"/>
          <w:szCs w:val="24"/>
        </w:rPr>
        <w:t xml:space="preserve">comprehensive in vitro Caco-2 intestinal screen of over 1200 combinations covering 11 surfactant categories, ternary (7 of top 10) and binary (3 of top 10) mixtures of </w:t>
      </w:r>
      <w:r w:rsidRPr="00E2407B">
        <w:rPr>
          <w:rFonts w:eastAsia="Arial" w:cs="Arial"/>
          <w:color w:val="131413"/>
          <w:sz w:val="24"/>
          <w:szCs w:val="24"/>
        </w:rPr>
        <w:t>surfactant-based PEs led to greater “</w:t>
      </w:r>
      <w:r w:rsidRPr="00E2407B">
        <w:rPr>
          <w:rFonts w:eastAsia="Arial" w:cs="Arial"/>
          <w:i/>
          <w:color w:val="131413"/>
          <w:sz w:val="24"/>
          <w:szCs w:val="24"/>
        </w:rPr>
        <w:t>Overall Potential</w:t>
      </w:r>
      <w:r w:rsidRPr="00E2407B">
        <w:rPr>
          <w:rFonts w:eastAsia="Arial" w:cs="Arial"/>
          <w:color w:val="131413"/>
          <w:sz w:val="24"/>
          <w:szCs w:val="24"/>
        </w:rPr>
        <w:t>” defined as the “</w:t>
      </w:r>
      <w:r w:rsidRPr="00E2407B">
        <w:rPr>
          <w:rFonts w:eastAsia="Arial" w:cs="Arial"/>
          <w:i/>
          <w:color w:val="131413"/>
          <w:sz w:val="24"/>
          <w:szCs w:val="24"/>
        </w:rPr>
        <w:t>Enhancement Potential</w:t>
      </w:r>
      <w:r w:rsidR="00AA2364">
        <w:rPr>
          <w:rFonts w:eastAsia="Arial" w:cs="Arial"/>
          <w:i/>
          <w:color w:val="131413"/>
          <w:sz w:val="24"/>
          <w:szCs w:val="24"/>
        </w:rPr>
        <w:t xml:space="preserve"> </w:t>
      </w:r>
      <w:r w:rsidRPr="00E2407B">
        <w:rPr>
          <w:rFonts w:eastAsia="Arial" w:cs="Arial"/>
          <w:color w:val="131413"/>
          <w:sz w:val="24"/>
          <w:szCs w:val="24"/>
        </w:rPr>
        <w:t>”</w:t>
      </w:r>
      <w:r w:rsidR="00AA2364">
        <w:rPr>
          <w:rFonts w:eastAsia="Arial" w:cs="Arial"/>
          <w:color w:val="131413"/>
          <w:sz w:val="24"/>
          <w:szCs w:val="24"/>
        </w:rPr>
        <w:t xml:space="preserve"> minus</w:t>
      </w:r>
      <w:r w:rsidRPr="00E2407B">
        <w:rPr>
          <w:rFonts w:eastAsia="Arial" w:cs="Arial"/>
          <w:color w:val="131413"/>
          <w:sz w:val="24"/>
          <w:szCs w:val="24"/>
        </w:rPr>
        <w:t xml:space="preserve"> </w:t>
      </w:r>
      <w:r w:rsidR="00AA2364">
        <w:rPr>
          <w:rFonts w:eastAsia="Arial" w:cs="Arial"/>
          <w:color w:val="131413"/>
          <w:sz w:val="24"/>
          <w:szCs w:val="24"/>
        </w:rPr>
        <w:t xml:space="preserve">the </w:t>
      </w:r>
      <w:r w:rsidRPr="00E2407B">
        <w:rPr>
          <w:rFonts w:eastAsia="Arial" w:cs="Arial"/>
          <w:color w:val="131413"/>
          <w:sz w:val="24"/>
          <w:szCs w:val="24"/>
        </w:rPr>
        <w:t>“</w:t>
      </w:r>
      <w:r w:rsidRPr="00E2407B">
        <w:rPr>
          <w:rFonts w:eastAsia="Arial" w:cs="Arial"/>
          <w:i/>
          <w:color w:val="131413"/>
          <w:sz w:val="24"/>
          <w:szCs w:val="24"/>
        </w:rPr>
        <w:t>Toxicity Potential</w:t>
      </w:r>
      <w:r w:rsidRPr="00E2407B">
        <w:rPr>
          <w:rFonts w:eastAsia="Arial" w:cs="Arial"/>
          <w:color w:val="131413"/>
          <w:sz w:val="24"/>
          <w:szCs w:val="24"/>
        </w:rPr>
        <w:t xml:space="preserve"> ” [</w:t>
      </w:r>
      <w:r w:rsidR="0032504C" w:rsidRPr="00033581">
        <w:rPr>
          <w:rFonts w:eastAsia="Arial" w:cs="Arial"/>
          <w:color w:val="131413"/>
          <w:sz w:val="24"/>
          <w:szCs w:val="24"/>
        </w:rPr>
        <w:t>4</w:t>
      </w:r>
      <w:hyperlink w:anchor="_4f1mdlm">
        <w:r w:rsidR="003F021F" w:rsidRPr="004D4894">
          <w:rPr>
            <w:rFonts w:eastAsia="Arial" w:cs="Arial"/>
            <w:color w:val="131413"/>
            <w:sz w:val="24"/>
            <w:szCs w:val="24"/>
          </w:rPr>
          <w:t>1</w:t>
        </w:r>
      </w:hyperlink>
      <w:r w:rsidRPr="00E2407B">
        <w:rPr>
          <w:rFonts w:eastAsia="Arial" w:cs="Arial"/>
          <w:color w:val="131413"/>
          <w:sz w:val="24"/>
          <w:szCs w:val="24"/>
        </w:rPr>
        <w:t>].</w:t>
      </w:r>
      <w:r w:rsidRPr="00E2407B">
        <w:rPr>
          <w:rFonts w:eastAsia="Arial" w:cs="Arial"/>
          <w:sz w:val="24"/>
          <w:szCs w:val="24"/>
        </w:rPr>
        <w:t xml:space="preserve"> The formulation</w:t>
      </w:r>
      <w:r w:rsidR="00AA2364">
        <w:rPr>
          <w:rFonts w:eastAsia="Arial" w:cs="Arial"/>
          <w:sz w:val="24"/>
          <w:szCs w:val="24"/>
        </w:rPr>
        <w:t>s</w:t>
      </w:r>
      <w:r w:rsidRPr="00E2407B">
        <w:rPr>
          <w:rFonts w:eastAsia="Arial" w:cs="Arial"/>
          <w:sz w:val="24"/>
          <w:szCs w:val="24"/>
        </w:rPr>
        <w:t xml:space="preserve"> with the highest </w:t>
      </w:r>
      <w:r w:rsidR="00AA2364" w:rsidRPr="00E2407B">
        <w:rPr>
          <w:rFonts w:eastAsia="Arial" w:cs="Arial"/>
          <w:color w:val="131413"/>
          <w:sz w:val="24"/>
          <w:szCs w:val="24"/>
        </w:rPr>
        <w:t>“</w:t>
      </w:r>
      <w:r w:rsidR="00AA2364" w:rsidRPr="00E2407B">
        <w:rPr>
          <w:rFonts w:eastAsia="Arial" w:cs="Arial"/>
          <w:i/>
          <w:color w:val="131413"/>
          <w:sz w:val="24"/>
          <w:szCs w:val="24"/>
        </w:rPr>
        <w:t>Overall Potential</w:t>
      </w:r>
      <w:r w:rsidR="00AA2364" w:rsidRPr="00E2407B">
        <w:rPr>
          <w:rFonts w:eastAsia="Arial" w:cs="Arial"/>
          <w:color w:val="131413"/>
          <w:sz w:val="24"/>
          <w:szCs w:val="24"/>
        </w:rPr>
        <w:t xml:space="preserve">” </w:t>
      </w:r>
      <w:r w:rsidRPr="00E2407B">
        <w:rPr>
          <w:rFonts w:eastAsia="Arial" w:cs="Arial"/>
          <w:sz w:val="24"/>
          <w:szCs w:val="24"/>
        </w:rPr>
        <w:t xml:space="preserve"> value</w:t>
      </w:r>
      <w:r w:rsidR="00AA2364">
        <w:rPr>
          <w:rFonts w:eastAsia="Arial" w:cs="Arial"/>
          <w:sz w:val="24"/>
          <w:szCs w:val="24"/>
        </w:rPr>
        <w:t>s</w:t>
      </w:r>
      <w:r w:rsidRPr="00E2407B">
        <w:rPr>
          <w:rFonts w:eastAsia="Arial" w:cs="Arial"/>
          <w:sz w:val="24"/>
          <w:szCs w:val="24"/>
        </w:rPr>
        <w:t xml:space="preserve"> comprised sodium laureth sulfate (anionic), decyltrimethylammonium bromide (cationic), and chembetaine (zwitterionic). The synergy was concentration-dependent, and the effect was lost at higher concentrations owing to an increase in TP. The key advantage of mixing surfactants may be an overall reduction in the individual concentrations required in the final formulation. The same is true in the current study, however the three surfactant groups in mixtures of Labrasol® + MCFA comprise macrogol-8 glycerides (non-ionic), glyceride esters (non-ionic), C</w:t>
      </w:r>
      <w:r w:rsidRPr="00E2407B">
        <w:rPr>
          <w:rFonts w:eastAsia="Arial" w:cs="Arial"/>
          <w:sz w:val="24"/>
          <w:szCs w:val="24"/>
          <w:vertAlign w:val="subscript"/>
        </w:rPr>
        <w:t>10</w:t>
      </w:r>
      <w:r w:rsidRPr="00E2407B">
        <w:rPr>
          <w:rFonts w:eastAsia="Arial" w:cs="Arial"/>
          <w:sz w:val="24"/>
          <w:szCs w:val="24"/>
        </w:rPr>
        <w:t>/C</w:t>
      </w:r>
      <w:r w:rsidRPr="00E2407B">
        <w:rPr>
          <w:rFonts w:eastAsia="Arial" w:cs="Arial"/>
          <w:sz w:val="24"/>
          <w:szCs w:val="24"/>
          <w:vertAlign w:val="subscript"/>
        </w:rPr>
        <w:t>11:1</w:t>
      </w:r>
      <w:r w:rsidRPr="00E2407B">
        <w:rPr>
          <w:rFonts w:eastAsia="Arial" w:cs="Arial"/>
          <w:sz w:val="24"/>
          <w:szCs w:val="24"/>
        </w:rPr>
        <w:t>/C</w:t>
      </w:r>
      <w:r w:rsidRPr="00E2407B">
        <w:rPr>
          <w:rFonts w:eastAsia="Arial" w:cs="Arial"/>
          <w:sz w:val="24"/>
          <w:szCs w:val="24"/>
          <w:vertAlign w:val="subscript"/>
        </w:rPr>
        <w:t>12</w:t>
      </w:r>
      <w:r w:rsidRPr="00E2407B">
        <w:rPr>
          <w:rFonts w:eastAsia="Arial" w:cs="Arial"/>
          <w:sz w:val="24"/>
          <w:szCs w:val="24"/>
        </w:rPr>
        <w:t xml:space="preserve"> (anionic).  They are likely to have better safety profiles than SLS, DTAB and CBC, </w:t>
      </w:r>
      <w:r w:rsidR="008A66D0" w:rsidRPr="00E2407B">
        <w:rPr>
          <w:rFonts w:eastAsia="Arial" w:cs="Arial"/>
          <w:sz w:val="24"/>
          <w:szCs w:val="24"/>
        </w:rPr>
        <w:t xml:space="preserve">which are more commonly </w:t>
      </w:r>
      <w:r w:rsidR="00047DFB" w:rsidRPr="00E2407B">
        <w:rPr>
          <w:rFonts w:eastAsia="Arial" w:cs="Arial"/>
          <w:sz w:val="24"/>
          <w:szCs w:val="24"/>
        </w:rPr>
        <w:t xml:space="preserve">used in </w:t>
      </w:r>
      <w:r w:rsidR="008A66D0" w:rsidRPr="00E2407B">
        <w:rPr>
          <w:rFonts w:eastAsia="Arial" w:cs="Arial"/>
          <w:sz w:val="24"/>
          <w:szCs w:val="24"/>
        </w:rPr>
        <w:t>products for external use onl</w:t>
      </w:r>
      <w:r w:rsidR="00047DFB" w:rsidRPr="00E2407B">
        <w:rPr>
          <w:rFonts w:eastAsia="Arial" w:cs="Arial"/>
          <w:sz w:val="24"/>
          <w:szCs w:val="24"/>
        </w:rPr>
        <w:t>y.</w:t>
      </w:r>
    </w:p>
    <w:p w14:paraId="55086589" w14:textId="681712F7" w:rsidR="00720511" w:rsidRPr="00E2407B" w:rsidRDefault="00942B2B" w:rsidP="00E2407B">
      <w:pPr>
        <w:spacing w:after="300" w:line="360" w:lineRule="auto"/>
        <w:rPr>
          <w:rFonts w:eastAsia="Arial" w:cs="Arial"/>
          <w:color w:val="131413"/>
          <w:sz w:val="24"/>
          <w:szCs w:val="24"/>
        </w:rPr>
      </w:pPr>
      <w:r w:rsidRPr="00E2407B">
        <w:rPr>
          <w:rFonts w:eastAsia="Arial" w:cs="Arial"/>
          <w:color w:val="131413"/>
          <w:sz w:val="24"/>
          <w:szCs w:val="24"/>
        </w:rPr>
        <w:lastRenderedPageBreak/>
        <w:t xml:space="preserve">A part of the rationale for mixing Labrasol® and MCFAs was to create a lipoidal dispersion with a greater degree of separation between concentrations with potential for enhancement action and those with the potential for toxicity.  It has been established that Labrasol® and Transcutol® can improve permeability of metformin across Caco-2 monolayers with minimal cytotoxicity </w:t>
      </w:r>
      <w:r w:rsidRPr="00E2407B">
        <w:rPr>
          <w:rFonts w:eastAsia="Arial" w:cs="Arial"/>
          <w:sz w:val="24"/>
          <w:szCs w:val="24"/>
        </w:rPr>
        <w:t>[</w:t>
      </w:r>
      <w:r w:rsidR="00791FF6" w:rsidRPr="00033581">
        <w:rPr>
          <w:rFonts w:eastAsia="Arial" w:cs="Arial"/>
          <w:sz w:val="24"/>
          <w:szCs w:val="24"/>
        </w:rPr>
        <w:t>4</w:t>
      </w:r>
      <w:hyperlink w:anchor="_2u6wntf">
        <w:r w:rsidR="003F021F" w:rsidRPr="00033581">
          <w:rPr>
            <w:rFonts w:eastAsia="Arial" w:cs="Arial"/>
            <w:sz w:val="24"/>
            <w:szCs w:val="24"/>
          </w:rPr>
          <w:t>2</w:t>
        </w:r>
      </w:hyperlink>
      <w:r w:rsidRPr="00E2407B">
        <w:rPr>
          <w:rFonts w:eastAsia="Arial" w:cs="Arial"/>
          <w:sz w:val="24"/>
          <w:szCs w:val="24"/>
        </w:rPr>
        <w:t>], so the opportunity was presented to see if it could allow MCFA induce</w:t>
      </w:r>
      <w:r w:rsidR="003F783A">
        <w:rPr>
          <w:rFonts w:eastAsia="Arial" w:cs="Arial"/>
          <w:sz w:val="24"/>
          <w:szCs w:val="24"/>
        </w:rPr>
        <w:t>d</w:t>
      </w:r>
      <w:r w:rsidRPr="00E2407B">
        <w:rPr>
          <w:rFonts w:eastAsia="Arial" w:cs="Arial"/>
          <w:sz w:val="24"/>
          <w:szCs w:val="24"/>
        </w:rPr>
        <w:t xml:space="preserve"> permeation in the absence of their known capacity to perturb membranes.  </w:t>
      </w:r>
      <w:r w:rsidRPr="00E2407B">
        <w:rPr>
          <w:rFonts w:eastAsia="Arial" w:cs="Arial"/>
          <w:color w:val="131413"/>
          <w:sz w:val="24"/>
          <w:szCs w:val="24"/>
        </w:rPr>
        <w:t xml:space="preserve">All combinations of Labrasol® with MCFAs that significantly increased permeability of FD4 across colonic mucosae were accompanied by mild mucosal </w:t>
      </w:r>
      <w:r w:rsidRPr="00562873">
        <w:rPr>
          <w:rFonts w:eastAsia="Arial" w:cs="Arial"/>
          <w:color w:val="131413"/>
          <w:sz w:val="24"/>
          <w:szCs w:val="24"/>
        </w:rPr>
        <w:t>perturbation</w:t>
      </w:r>
      <w:r w:rsidR="00D17C50" w:rsidRPr="00562873">
        <w:rPr>
          <w:rFonts w:eastAsia="Arial" w:cs="Arial"/>
          <w:color w:val="131413"/>
          <w:sz w:val="24"/>
          <w:szCs w:val="24"/>
        </w:rPr>
        <w:t>.</w:t>
      </w:r>
      <w:r w:rsidR="001F3150" w:rsidRPr="007E40D5">
        <w:rPr>
          <w:rFonts w:eastAsia="Arial"/>
          <w:color w:val="131413"/>
          <w:sz w:val="24"/>
        </w:rPr>
        <w:t xml:space="preserve"> To place this in context however,</w:t>
      </w:r>
      <w:r w:rsidR="00562873">
        <w:rPr>
          <w:rFonts w:eastAsia="Arial" w:cs="Arial"/>
          <w:color w:val="131413"/>
          <w:sz w:val="24"/>
          <w:szCs w:val="24"/>
        </w:rPr>
        <w:t xml:space="preserve"> we typically see far more irreversible damage and perturbation when C</w:t>
      </w:r>
      <w:r w:rsidR="001F3150" w:rsidRPr="007E40D5">
        <w:rPr>
          <w:rFonts w:eastAsia="Arial"/>
          <w:color w:val="131413"/>
          <w:sz w:val="24"/>
          <w:vertAlign w:val="subscript"/>
        </w:rPr>
        <w:t>10</w:t>
      </w:r>
      <w:r w:rsidR="00562873">
        <w:rPr>
          <w:rFonts w:eastAsia="Arial" w:cs="Arial"/>
          <w:color w:val="131413"/>
          <w:sz w:val="24"/>
          <w:szCs w:val="24"/>
        </w:rPr>
        <w:t xml:space="preserve"> and other known permeation enhancers are exposed in high concentrations to rat intestinal epithelia in Ussing chamber studies </w:t>
      </w:r>
      <w:r w:rsidR="001F3150" w:rsidRPr="007E40D5">
        <w:rPr>
          <w:rFonts w:eastAsia="Arial"/>
          <w:i/>
          <w:color w:val="131413"/>
          <w:sz w:val="24"/>
        </w:rPr>
        <w:t>in vitro</w:t>
      </w:r>
      <w:r w:rsidR="00562873">
        <w:rPr>
          <w:rFonts w:eastAsia="Arial" w:cs="Arial"/>
          <w:color w:val="131413"/>
          <w:sz w:val="24"/>
          <w:szCs w:val="24"/>
        </w:rPr>
        <w:t xml:space="preserve"> [</w:t>
      </w:r>
      <w:r w:rsidR="00562873" w:rsidRPr="00562873">
        <w:rPr>
          <w:rFonts w:eastAsia="Arial" w:cs="Arial"/>
          <w:color w:val="131413"/>
          <w:sz w:val="24"/>
          <w:szCs w:val="24"/>
        </w:rPr>
        <w:t>43</w:t>
      </w:r>
      <w:r w:rsidR="00562873">
        <w:rPr>
          <w:rFonts w:eastAsia="Arial" w:cs="Arial"/>
          <w:color w:val="131413"/>
          <w:sz w:val="24"/>
          <w:szCs w:val="24"/>
        </w:rPr>
        <w:t xml:space="preserve">]. </w:t>
      </w:r>
      <w:r w:rsidR="00481C12">
        <w:rPr>
          <w:rFonts w:eastAsia="Arial" w:cs="Arial"/>
          <w:color w:val="131413"/>
          <w:sz w:val="24"/>
          <w:szCs w:val="24"/>
        </w:rPr>
        <w:t>Thus</w:t>
      </w:r>
      <w:r w:rsidR="003D7134" w:rsidRPr="00E2407B">
        <w:rPr>
          <w:rFonts w:eastAsia="Arial" w:cs="Arial"/>
          <w:color w:val="131413"/>
          <w:sz w:val="24"/>
          <w:szCs w:val="24"/>
        </w:rPr>
        <w:t>,</w:t>
      </w:r>
      <w:r w:rsidRPr="00E2407B">
        <w:rPr>
          <w:rFonts w:eastAsia="Arial" w:cs="Arial"/>
          <w:color w:val="131413"/>
          <w:sz w:val="24"/>
          <w:szCs w:val="24"/>
        </w:rPr>
        <w:t xml:space="preserve"> there was no clear discrimination between the concentrations that induced permeation enhancement and mild transmucosal perturbation in this model. </w:t>
      </w:r>
      <w:r w:rsidR="00481C12">
        <w:rPr>
          <w:rFonts w:eastAsia="Arial" w:cs="Arial"/>
          <w:color w:val="131413"/>
          <w:sz w:val="24"/>
          <w:szCs w:val="24"/>
        </w:rPr>
        <w:t>Nonetheless, t</w:t>
      </w:r>
      <w:r w:rsidRPr="00E2407B">
        <w:rPr>
          <w:rFonts w:eastAsia="Arial" w:cs="Arial"/>
          <w:color w:val="131413"/>
          <w:sz w:val="24"/>
          <w:szCs w:val="24"/>
        </w:rPr>
        <w:t xml:space="preserve">he overall benefit of mixing Labrasol® and MCFAs from a safety perspective may </w:t>
      </w:r>
      <w:r w:rsidR="00481C12">
        <w:rPr>
          <w:rFonts w:eastAsia="Arial" w:cs="Arial"/>
          <w:color w:val="131413"/>
          <w:sz w:val="24"/>
          <w:szCs w:val="24"/>
        </w:rPr>
        <w:t>still be</w:t>
      </w:r>
      <w:r w:rsidRPr="00E2407B">
        <w:rPr>
          <w:rFonts w:eastAsia="Arial" w:cs="Arial"/>
          <w:color w:val="131413"/>
          <w:sz w:val="24"/>
          <w:szCs w:val="24"/>
        </w:rPr>
        <w:t xml:space="preserve"> to limit the concentration of </w:t>
      </w:r>
      <w:r w:rsidR="00481C12">
        <w:rPr>
          <w:rFonts w:eastAsia="Arial" w:cs="Arial"/>
          <w:color w:val="131413"/>
          <w:sz w:val="24"/>
          <w:szCs w:val="24"/>
        </w:rPr>
        <w:t>MCFAs</w:t>
      </w:r>
      <w:r w:rsidRPr="00E2407B">
        <w:rPr>
          <w:rFonts w:eastAsia="Arial" w:cs="Arial"/>
          <w:color w:val="131413"/>
          <w:sz w:val="24"/>
          <w:szCs w:val="24"/>
        </w:rPr>
        <w:t xml:space="preserve"> required in the oral dosage form, as these can </w:t>
      </w:r>
      <w:r w:rsidR="00481C12">
        <w:rPr>
          <w:rFonts w:eastAsia="Arial" w:cs="Arial"/>
          <w:color w:val="131413"/>
          <w:sz w:val="24"/>
          <w:szCs w:val="24"/>
        </w:rPr>
        <w:t xml:space="preserve">perhaps </w:t>
      </w:r>
      <w:r w:rsidRPr="00E2407B">
        <w:rPr>
          <w:rFonts w:eastAsia="Arial" w:cs="Arial"/>
          <w:color w:val="131413"/>
          <w:sz w:val="24"/>
          <w:szCs w:val="24"/>
        </w:rPr>
        <w:t xml:space="preserve">be compensated </w:t>
      </w:r>
      <w:r w:rsidR="00305A92">
        <w:rPr>
          <w:rFonts w:eastAsia="Arial" w:cs="Arial"/>
          <w:color w:val="131413"/>
          <w:sz w:val="24"/>
          <w:szCs w:val="24"/>
        </w:rPr>
        <w:t xml:space="preserve">for by an increase in the concentration of </w:t>
      </w:r>
      <w:r w:rsidRPr="00E2407B">
        <w:rPr>
          <w:rFonts w:eastAsia="Arial" w:cs="Arial"/>
          <w:color w:val="131413"/>
          <w:sz w:val="24"/>
          <w:szCs w:val="24"/>
        </w:rPr>
        <w:t>excipients</w:t>
      </w:r>
      <w:r w:rsidR="00481C12">
        <w:rPr>
          <w:rFonts w:eastAsia="Arial" w:cs="Arial"/>
          <w:color w:val="131413"/>
          <w:sz w:val="24"/>
          <w:szCs w:val="24"/>
        </w:rPr>
        <w:t xml:space="preserve"> with permeation-enhancement capacity</w:t>
      </w:r>
      <w:r w:rsidRPr="00E2407B">
        <w:rPr>
          <w:rFonts w:eastAsia="Arial" w:cs="Arial"/>
          <w:color w:val="131413"/>
          <w:sz w:val="24"/>
          <w:szCs w:val="24"/>
        </w:rPr>
        <w:t xml:space="preserve">. Mild mucosal damage seen </w:t>
      </w:r>
      <w:r w:rsidRPr="00E2407B">
        <w:rPr>
          <w:rFonts w:eastAsia="Arial" w:cs="Arial"/>
          <w:i/>
          <w:color w:val="131413"/>
          <w:sz w:val="24"/>
          <w:szCs w:val="24"/>
        </w:rPr>
        <w:t>in vitro</w:t>
      </w:r>
      <w:r w:rsidRPr="00E2407B">
        <w:rPr>
          <w:rFonts w:eastAsia="Arial" w:cs="Arial"/>
          <w:color w:val="131413"/>
          <w:sz w:val="24"/>
          <w:szCs w:val="24"/>
        </w:rPr>
        <w:t xml:space="preserve"> does not preclude the potential application </w:t>
      </w:r>
      <w:r w:rsidR="00481C12">
        <w:rPr>
          <w:rFonts w:eastAsia="Arial" w:cs="Arial"/>
          <w:color w:val="131413"/>
          <w:sz w:val="24"/>
          <w:szCs w:val="24"/>
        </w:rPr>
        <w:t xml:space="preserve">of </w:t>
      </w:r>
      <w:r w:rsidRPr="00E2407B">
        <w:rPr>
          <w:rFonts w:eastAsia="Arial" w:cs="Arial"/>
          <w:color w:val="131413"/>
          <w:sz w:val="24"/>
          <w:szCs w:val="24"/>
        </w:rPr>
        <w:t>LBFs supplemented with PEs</w:t>
      </w:r>
      <w:r w:rsidR="008E4EA5">
        <w:rPr>
          <w:rFonts w:eastAsia="Arial" w:cs="Arial"/>
          <w:color w:val="131413"/>
          <w:sz w:val="24"/>
          <w:szCs w:val="24"/>
        </w:rPr>
        <w:t>,</w:t>
      </w:r>
      <w:r w:rsidRPr="00E2407B">
        <w:rPr>
          <w:rFonts w:eastAsia="Arial" w:cs="Arial"/>
          <w:color w:val="131413"/>
          <w:sz w:val="24"/>
          <w:szCs w:val="24"/>
        </w:rPr>
        <w:t xml:space="preserve"> as many excipients, foods and endogenous mediators also </w:t>
      </w:r>
      <w:r w:rsidR="00B240C4" w:rsidRPr="00E2407B">
        <w:rPr>
          <w:rFonts w:eastAsia="Arial" w:cs="Arial"/>
          <w:color w:val="131413"/>
          <w:sz w:val="24"/>
          <w:szCs w:val="24"/>
        </w:rPr>
        <w:t xml:space="preserve">have the potential to </w:t>
      </w:r>
      <w:r w:rsidRPr="00E2407B">
        <w:rPr>
          <w:rFonts w:eastAsia="Arial" w:cs="Arial"/>
          <w:color w:val="131413"/>
          <w:sz w:val="24"/>
          <w:szCs w:val="24"/>
        </w:rPr>
        <w:t>cause an acceptable level of temporary, mild, and reversible mucosal damage [</w:t>
      </w:r>
      <w:r w:rsidR="00791FF6" w:rsidRPr="00033581">
        <w:rPr>
          <w:rFonts w:eastAsia="Arial" w:cs="Arial"/>
          <w:color w:val="131413"/>
          <w:sz w:val="24"/>
          <w:szCs w:val="24"/>
        </w:rPr>
        <w:t>4</w:t>
      </w:r>
      <w:hyperlink w:anchor="_19c6y18">
        <w:r w:rsidR="00562873">
          <w:rPr>
            <w:rFonts w:eastAsia="Arial" w:cs="Arial"/>
            <w:color w:val="131413"/>
            <w:sz w:val="24"/>
            <w:szCs w:val="24"/>
          </w:rPr>
          <w:t>4</w:t>
        </w:r>
      </w:hyperlink>
      <w:r w:rsidR="003D7134" w:rsidRPr="00E2407B">
        <w:rPr>
          <w:rFonts w:eastAsia="Arial" w:cs="Arial"/>
          <w:color w:val="131413"/>
          <w:sz w:val="24"/>
          <w:szCs w:val="24"/>
        </w:rPr>
        <w:t>]</w:t>
      </w:r>
      <w:r w:rsidRPr="00E2407B">
        <w:rPr>
          <w:rFonts w:eastAsia="Arial" w:cs="Arial"/>
          <w:color w:val="131413"/>
          <w:sz w:val="24"/>
          <w:szCs w:val="24"/>
        </w:rPr>
        <w:t>.</w:t>
      </w:r>
    </w:p>
    <w:p w14:paraId="3E2C1681" w14:textId="583F7DF9" w:rsidR="00720511" w:rsidRPr="00E2407B" w:rsidRDefault="00942B2B" w:rsidP="00E2407B">
      <w:pPr>
        <w:spacing w:after="0" w:line="360" w:lineRule="auto"/>
        <w:rPr>
          <w:rFonts w:eastAsia="Arial" w:cs="Arial"/>
          <w:sz w:val="24"/>
          <w:szCs w:val="24"/>
        </w:rPr>
      </w:pPr>
      <w:r w:rsidRPr="00E2407B">
        <w:rPr>
          <w:rFonts w:eastAsia="Arial" w:cs="Arial"/>
          <w:sz w:val="24"/>
          <w:szCs w:val="24"/>
        </w:rPr>
        <w:t xml:space="preserve">The design of appropriate bio-relevant media for </w:t>
      </w:r>
      <w:r w:rsidRPr="00E2407B">
        <w:rPr>
          <w:rFonts w:eastAsia="Arial" w:cs="Arial"/>
          <w:i/>
          <w:sz w:val="24"/>
          <w:szCs w:val="24"/>
        </w:rPr>
        <w:t>in vitro</w:t>
      </w:r>
      <w:r w:rsidRPr="00E2407B">
        <w:rPr>
          <w:rFonts w:eastAsia="Arial" w:cs="Arial"/>
          <w:sz w:val="24"/>
          <w:szCs w:val="24"/>
        </w:rPr>
        <w:t xml:space="preserve"> systems is important for predicting drug dissolution. However, the capacity of the apical side milieu to alter drug permeability and/or the study of how excipients interact with the intestinal epithelium is relatively under-researched. The effect of combinations of Labrasol® and MCFAs shown here suggests that physiological concentrations of free fatty acids, potentially liberated during lipid digestion of Labrasol®, may alter how Labrasol® interacts with the intestinal epithelium. Interaction of Labrasol® with dietary MCFAs is less likely in the fasted-state as the estimated concentration of free fatty acids in fasted state human intestinal fluid is relatively low (0-to-3.86 mg/mL of which only 5% of which are MCFAs [</w:t>
      </w:r>
      <w:hyperlink w:anchor="_3tbugp1">
        <w:r w:rsidR="003F021F" w:rsidRPr="004D4894">
          <w:rPr>
            <w:rFonts w:eastAsia="Arial" w:cs="Arial"/>
            <w:sz w:val="24"/>
            <w:szCs w:val="24"/>
          </w:rPr>
          <w:t>4</w:t>
        </w:r>
      </w:hyperlink>
      <w:r w:rsidR="006A20E1">
        <w:rPr>
          <w:rFonts w:eastAsia="Arial" w:cs="Arial"/>
          <w:sz w:val="24"/>
          <w:szCs w:val="24"/>
        </w:rPr>
        <w:t>5</w:t>
      </w:r>
      <w:r w:rsidRPr="00E2407B">
        <w:rPr>
          <w:rFonts w:eastAsia="Arial" w:cs="Arial"/>
          <w:sz w:val="24"/>
          <w:szCs w:val="24"/>
        </w:rPr>
        <w:t>]). However, interaction is possible following dietary intake of nutrients of excipients that are rich in MCFAs such as coconut milk, which contains C</w:t>
      </w:r>
      <w:r w:rsidRPr="00E2407B">
        <w:rPr>
          <w:rFonts w:eastAsia="Arial" w:cs="Arial"/>
          <w:sz w:val="24"/>
          <w:szCs w:val="24"/>
          <w:vertAlign w:val="subscript"/>
        </w:rPr>
        <w:t>10</w:t>
      </w:r>
      <w:r w:rsidRPr="00E2407B">
        <w:rPr>
          <w:rFonts w:eastAsia="Arial" w:cs="Arial"/>
          <w:sz w:val="24"/>
          <w:szCs w:val="24"/>
        </w:rPr>
        <w:t xml:space="preserve"> (4.7 %w/w) and C</w:t>
      </w:r>
      <w:r w:rsidRPr="00E2407B">
        <w:rPr>
          <w:rFonts w:eastAsia="Arial" w:cs="Arial"/>
          <w:sz w:val="24"/>
          <w:szCs w:val="24"/>
          <w:vertAlign w:val="subscript"/>
        </w:rPr>
        <w:t>12</w:t>
      </w:r>
      <w:r w:rsidRPr="00E2407B">
        <w:rPr>
          <w:rFonts w:eastAsia="Arial" w:cs="Arial"/>
          <w:sz w:val="24"/>
          <w:szCs w:val="24"/>
        </w:rPr>
        <w:t xml:space="preserve"> (37 %w/w) [</w:t>
      </w:r>
      <w:hyperlink w:anchor="_32hioqz">
        <w:r w:rsidR="006A20E1">
          <w:rPr>
            <w:rFonts w:eastAsia="Arial" w:cs="Arial"/>
            <w:sz w:val="24"/>
            <w:szCs w:val="24"/>
          </w:rPr>
          <w:t>46</w:t>
        </w:r>
      </w:hyperlink>
      <w:r w:rsidRPr="00E2407B">
        <w:rPr>
          <w:rFonts w:eastAsia="Arial" w:cs="Arial"/>
          <w:sz w:val="24"/>
          <w:szCs w:val="24"/>
        </w:rPr>
        <w:t>]. The post-prandial concentration of free fatty acids in human intestinal fluid can reach levels considerably higher than those tested in this study. For example, the fed state concentration was higher (0.53-to-15</w:t>
      </w:r>
      <w:r w:rsidR="00BC3A5D" w:rsidRPr="00E2407B">
        <w:rPr>
          <w:rFonts w:eastAsia="Arial" w:cs="Arial"/>
          <w:sz w:val="24"/>
          <w:szCs w:val="24"/>
        </w:rPr>
        <w:t xml:space="preserve"> </w:t>
      </w:r>
      <w:r w:rsidRPr="00E2407B">
        <w:rPr>
          <w:rFonts w:eastAsia="Arial" w:cs="Arial"/>
          <w:sz w:val="24"/>
          <w:szCs w:val="24"/>
        </w:rPr>
        <w:t xml:space="preserve">mg/mL) following ingestion of the nutritional supplement Ensure® Plus (400 mL, Abbott, </w:t>
      </w:r>
      <w:r w:rsidRPr="00E2407B">
        <w:rPr>
          <w:rFonts w:eastAsia="Arial" w:cs="Arial"/>
          <w:sz w:val="24"/>
          <w:szCs w:val="24"/>
        </w:rPr>
        <w:lastRenderedPageBreak/>
        <w:t>Netherlands), which contains a lipid content that is relatively low (0.05</w:t>
      </w:r>
      <w:r w:rsidR="003F783A">
        <w:rPr>
          <w:rFonts w:eastAsia="Arial" w:cs="Arial"/>
          <w:sz w:val="24"/>
          <w:szCs w:val="24"/>
        </w:rPr>
        <w:t xml:space="preserve"> </w:t>
      </w:r>
      <w:r w:rsidRPr="00E2407B">
        <w:rPr>
          <w:rFonts w:eastAsia="Arial" w:cs="Arial"/>
          <w:sz w:val="24"/>
          <w:szCs w:val="24"/>
        </w:rPr>
        <w:t>%w/v) compared to some high fat meals [</w:t>
      </w:r>
      <w:r w:rsidR="00AA2364">
        <w:rPr>
          <w:rFonts w:eastAsia="Arial" w:cs="Arial"/>
          <w:sz w:val="24"/>
          <w:szCs w:val="24"/>
        </w:rPr>
        <w:t>4</w:t>
      </w:r>
      <w:r w:rsidR="006A20E1">
        <w:rPr>
          <w:rFonts w:eastAsia="Arial" w:cs="Arial"/>
          <w:sz w:val="24"/>
          <w:szCs w:val="24"/>
        </w:rPr>
        <w:t>5</w:t>
      </w:r>
      <w:r w:rsidRPr="00E2407B">
        <w:rPr>
          <w:rFonts w:eastAsia="Arial" w:cs="Arial"/>
          <w:sz w:val="24"/>
          <w:szCs w:val="24"/>
        </w:rPr>
        <w:t xml:space="preserve">]. </w:t>
      </w:r>
      <w:r w:rsidR="00F41D0D" w:rsidRPr="00E2407B">
        <w:rPr>
          <w:rFonts w:eastAsia="Arial" w:cs="Arial"/>
          <w:sz w:val="24"/>
          <w:szCs w:val="24"/>
        </w:rPr>
        <w:t>Lipid rich</w:t>
      </w:r>
      <w:r w:rsidRPr="00E2407B">
        <w:rPr>
          <w:rFonts w:eastAsia="Arial" w:cs="Arial"/>
          <w:sz w:val="24"/>
          <w:szCs w:val="24"/>
        </w:rPr>
        <w:t xml:space="preserve"> meals are generally reported to reduce the extent of absorption of small molecule BCS Class III drugs via inhibition of transporters, but these compounds are not formulated in LBFs or with appreciable quantities of surfactant [</w:t>
      </w:r>
      <w:r w:rsidR="00791FF6" w:rsidRPr="00033581">
        <w:rPr>
          <w:rFonts w:eastAsia="Arial" w:cs="Arial"/>
          <w:sz w:val="24"/>
          <w:szCs w:val="24"/>
        </w:rPr>
        <w:t>4</w:t>
      </w:r>
      <w:hyperlink w:anchor="_28h4qwu">
        <w:r w:rsidR="006A20E1">
          <w:rPr>
            <w:rFonts w:eastAsia="Arial" w:cs="Arial"/>
            <w:sz w:val="24"/>
            <w:szCs w:val="24"/>
          </w:rPr>
          <w:t>7</w:t>
        </w:r>
      </w:hyperlink>
      <w:r w:rsidRPr="00E2407B">
        <w:rPr>
          <w:rFonts w:eastAsia="Arial" w:cs="Arial"/>
          <w:sz w:val="24"/>
          <w:szCs w:val="24"/>
        </w:rPr>
        <w:t>]. An evaluation of human food effects in 92 clinical data set</w:t>
      </w:r>
      <w:r w:rsidR="00F41D0D" w:rsidRPr="00E2407B">
        <w:rPr>
          <w:rFonts w:eastAsia="Arial" w:cs="Arial"/>
          <w:sz w:val="24"/>
          <w:szCs w:val="24"/>
        </w:rPr>
        <w:t xml:space="preserve">s </w:t>
      </w:r>
      <w:r w:rsidR="003850FE" w:rsidRPr="00E2407B">
        <w:rPr>
          <w:rFonts w:eastAsia="Arial" w:cs="Arial"/>
          <w:sz w:val="24"/>
          <w:szCs w:val="24"/>
        </w:rPr>
        <w:t xml:space="preserve">concluded that </w:t>
      </w:r>
      <w:r w:rsidRPr="00E2407B">
        <w:rPr>
          <w:rFonts w:eastAsia="Arial" w:cs="Arial"/>
          <w:sz w:val="24"/>
          <w:szCs w:val="24"/>
        </w:rPr>
        <w:t>67</w:t>
      </w:r>
      <w:r w:rsidR="003F783A">
        <w:rPr>
          <w:rFonts w:eastAsia="Arial" w:cs="Arial"/>
          <w:sz w:val="24"/>
          <w:szCs w:val="24"/>
        </w:rPr>
        <w:t xml:space="preserve"> </w:t>
      </w:r>
      <w:r w:rsidRPr="00E2407B">
        <w:rPr>
          <w:rFonts w:eastAsia="Arial" w:cs="Arial"/>
          <w:sz w:val="24"/>
          <w:szCs w:val="24"/>
        </w:rPr>
        <w:t xml:space="preserve">% of BCS Class I drugs </w:t>
      </w:r>
      <w:r w:rsidR="00F41D0D" w:rsidRPr="00E2407B">
        <w:rPr>
          <w:rFonts w:eastAsia="Arial" w:cs="Arial"/>
          <w:sz w:val="24"/>
          <w:szCs w:val="24"/>
        </w:rPr>
        <w:t>had</w:t>
      </w:r>
      <w:r w:rsidRPr="00E2407B">
        <w:rPr>
          <w:rFonts w:eastAsia="Arial" w:cs="Arial"/>
          <w:sz w:val="24"/>
          <w:szCs w:val="24"/>
        </w:rPr>
        <w:t xml:space="preserve"> no food effect, 71</w:t>
      </w:r>
      <w:r w:rsidR="003F783A">
        <w:rPr>
          <w:rFonts w:eastAsia="Arial" w:cs="Arial"/>
          <w:sz w:val="24"/>
          <w:szCs w:val="24"/>
        </w:rPr>
        <w:t xml:space="preserve"> </w:t>
      </w:r>
      <w:r w:rsidRPr="00E2407B">
        <w:rPr>
          <w:rFonts w:eastAsia="Arial" w:cs="Arial"/>
          <w:sz w:val="24"/>
          <w:szCs w:val="24"/>
        </w:rPr>
        <w:t>% of Class II had a positive food effect, 61</w:t>
      </w:r>
      <w:r w:rsidR="003F783A">
        <w:rPr>
          <w:rFonts w:eastAsia="Arial" w:cs="Arial"/>
          <w:sz w:val="24"/>
          <w:szCs w:val="24"/>
        </w:rPr>
        <w:t xml:space="preserve"> </w:t>
      </w:r>
      <w:r w:rsidRPr="00E2407B">
        <w:rPr>
          <w:rFonts w:eastAsia="Arial" w:cs="Arial"/>
          <w:sz w:val="24"/>
          <w:szCs w:val="24"/>
        </w:rPr>
        <w:t>% of BCS Class III had a negative food effect and 73</w:t>
      </w:r>
      <w:r w:rsidR="003F783A">
        <w:rPr>
          <w:rFonts w:eastAsia="Arial" w:cs="Arial"/>
          <w:sz w:val="24"/>
          <w:szCs w:val="24"/>
        </w:rPr>
        <w:t xml:space="preserve"> </w:t>
      </w:r>
      <w:r w:rsidRPr="00E2407B">
        <w:rPr>
          <w:rFonts w:eastAsia="Arial" w:cs="Arial"/>
          <w:sz w:val="24"/>
          <w:szCs w:val="24"/>
        </w:rPr>
        <w:t>% of Class IV had a positive food effect [</w:t>
      </w:r>
      <w:r w:rsidR="00791FF6" w:rsidRPr="00033581">
        <w:rPr>
          <w:rFonts w:eastAsia="Arial" w:cs="Arial"/>
          <w:sz w:val="24"/>
          <w:szCs w:val="24"/>
        </w:rPr>
        <w:t>4</w:t>
      </w:r>
      <w:hyperlink w:anchor="_nmf14n">
        <w:r w:rsidR="006A20E1">
          <w:rPr>
            <w:rFonts w:eastAsia="Arial" w:cs="Arial"/>
            <w:sz w:val="24"/>
            <w:szCs w:val="24"/>
          </w:rPr>
          <w:t>8</w:t>
        </w:r>
      </w:hyperlink>
      <w:r w:rsidRPr="00E2407B">
        <w:rPr>
          <w:rFonts w:eastAsia="Arial" w:cs="Arial"/>
          <w:sz w:val="24"/>
          <w:szCs w:val="24"/>
        </w:rPr>
        <w:t xml:space="preserve">]. Although </w:t>
      </w:r>
      <w:r w:rsidR="003850FE" w:rsidRPr="00E2407B">
        <w:rPr>
          <w:rFonts w:eastAsia="Arial" w:cs="Arial"/>
          <w:sz w:val="24"/>
          <w:szCs w:val="24"/>
        </w:rPr>
        <w:t xml:space="preserve">that </w:t>
      </w:r>
      <w:r w:rsidRPr="00E2407B">
        <w:rPr>
          <w:rFonts w:eastAsia="Arial" w:cs="Arial"/>
          <w:sz w:val="24"/>
          <w:szCs w:val="24"/>
        </w:rPr>
        <w:t>study only focused on the intrinsic drug properties, the authors noted that formulations may ultimately change a food effect. In sum, delivery models that take in to account constituents of diet, physicochemical properties of drug and formulation may help to better understand the effect of lipoidal vehicles on intestinal permeability.</w:t>
      </w:r>
    </w:p>
    <w:p w14:paraId="3C68359F" w14:textId="77777777" w:rsidR="00720511" w:rsidRPr="00E2407B" w:rsidRDefault="00720511" w:rsidP="00E2407B">
      <w:pPr>
        <w:spacing w:after="0" w:line="360" w:lineRule="auto"/>
        <w:rPr>
          <w:rFonts w:eastAsia="Arial" w:cs="Arial"/>
          <w:sz w:val="24"/>
          <w:szCs w:val="24"/>
        </w:rPr>
      </w:pPr>
    </w:p>
    <w:p w14:paraId="04DDD7AD" w14:textId="79EC2843" w:rsidR="00720511" w:rsidRPr="00E2407B" w:rsidRDefault="00942B2B" w:rsidP="00E2407B">
      <w:pPr>
        <w:spacing w:after="0" w:line="360" w:lineRule="auto"/>
        <w:rPr>
          <w:rFonts w:eastAsia="Arial" w:cs="Arial"/>
          <w:sz w:val="24"/>
          <w:szCs w:val="24"/>
        </w:rPr>
      </w:pPr>
      <w:r w:rsidRPr="00E2407B">
        <w:rPr>
          <w:rFonts w:eastAsia="Arial" w:cs="Arial"/>
          <w:sz w:val="24"/>
          <w:szCs w:val="24"/>
        </w:rPr>
        <w:t>It is noteworthy that the acylglycerols and PEG esters in Labrasol®</w:t>
      </w:r>
      <w:r w:rsidR="00F74AA6" w:rsidRPr="00E2407B">
        <w:rPr>
          <w:rFonts w:eastAsia="Arial" w:cs="Arial"/>
          <w:sz w:val="24"/>
          <w:szCs w:val="24"/>
        </w:rPr>
        <w:t xml:space="preserve"> and other lipoid vehicles</w:t>
      </w:r>
      <w:r w:rsidRPr="00E2407B">
        <w:rPr>
          <w:rFonts w:eastAsia="Arial" w:cs="Arial"/>
          <w:sz w:val="24"/>
          <w:szCs w:val="24"/>
        </w:rPr>
        <w:t xml:space="preserve"> are substrates </w:t>
      </w:r>
      <w:r w:rsidR="00844FE9" w:rsidRPr="00E2407B">
        <w:rPr>
          <w:rFonts w:eastAsia="Arial" w:cs="Arial"/>
          <w:sz w:val="24"/>
          <w:szCs w:val="24"/>
        </w:rPr>
        <w:t>of</w:t>
      </w:r>
      <w:r w:rsidRPr="00E2407B">
        <w:rPr>
          <w:rFonts w:eastAsia="Arial" w:cs="Arial"/>
          <w:sz w:val="24"/>
          <w:szCs w:val="24"/>
        </w:rPr>
        <w:t xml:space="preserve"> digestive lipases [</w:t>
      </w:r>
      <w:r w:rsidR="00791FF6" w:rsidRPr="006A20E1">
        <w:rPr>
          <w:rFonts w:eastAsia="Arial" w:cs="Arial"/>
          <w:sz w:val="24"/>
          <w:szCs w:val="24"/>
        </w:rPr>
        <w:t>4</w:t>
      </w:r>
      <w:hyperlink w:anchor="_37m2jsg">
        <w:r w:rsidR="001F3150" w:rsidRPr="007E40D5">
          <w:rPr>
            <w:rFonts w:eastAsia="Arial"/>
            <w:sz w:val="24"/>
          </w:rPr>
          <w:t>9</w:t>
        </w:r>
      </w:hyperlink>
      <w:r w:rsidRPr="00E2407B">
        <w:rPr>
          <w:rFonts w:eastAsia="Arial" w:cs="Arial"/>
          <w:sz w:val="24"/>
          <w:szCs w:val="24"/>
        </w:rPr>
        <w:t>], and hence the luminal formation of MCFAs (C</w:t>
      </w:r>
      <w:r w:rsidRPr="00E2407B">
        <w:rPr>
          <w:rFonts w:eastAsia="Arial" w:cs="Arial"/>
          <w:sz w:val="24"/>
          <w:szCs w:val="24"/>
          <w:vertAlign w:val="subscript"/>
        </w:rPr>
        <w:t>8</w:t>
      </w:r>
      <w:r w:rsidRPr="00E2407B">
        <w:rPr>
          <w:rFonts w:eastAsia="Arial" w:cs="Arial"/>
          <w:sz w:val="24"/>
          <w:szCs w:val="24"/>
        </w:rPr>
        <w:t xml:space="preserve"> and C</w:t>
      </w:r>
      <w:r w:rsidRPr="00E2407B">
        <w:rPr>
          <w:rFonts w:eastAsia="Arial" w:cs="Arial"/>
          <w:sz w:val="24"/>
          <w:szCs w:val="24"/>
          <w:vertAlign w:val="subscript"/>
        </w:rPr>
        <w:t>10</w:t>
      </w:r>
      <w:r w:rsidRPr="00E2407B">
        <w:rPr>
          <w:rFonts w:eastAsia="Arial" w:cs="Arial"/>
          <w:sz w:val="24"/>
          <w:szCs w:val="24"/>
        </w:rPr>
        <w:t xml:space="preserve">) may contribute to permeability </w:t>
      </w:r>
      <w:r w:rsidR="00F74AA6" w:rsidRPr="00E2407B">
        <w:rPr>
          <w:rFonts w:eastAsia="Arial" w:cs="Arial"/>
          <w:sz w:val="24"/>
          <w:szCs w:val="24"/>
        </w:rPr>
        <w:t xml:space="preserve">of </w:t>
      </w:r>
      <w:r w:rsidRPr="00E2407B">
        <w:rPr>
          <w:rFonts w:eastAsia="Arial" w:cs="Arial"/>
          <w:sz w:val="24"/>
          <w:szCs w:val="24"/>
        </w:rPr>
        <w:t xml:space="preserve">drugs </w:t>
      </w:r>
      <w:r w:rsidR="00F74AA6" w:rsidRPr="00E2407B">
        <w:rPr>
          <w:rFonts w:eastAsia="Arial" w:cs="Arial"/>
          <w:sz w:val="24"/>
          <w:szCs w:val="24"/>
        </w:rPr>
        <w:t>formulated in lipoidal vehicles</w:t>
      </w:r>
      <w:r w:rsidRPr="00E2407B">
        <w:rPr>
          <w:rFonts w:eastAsia="Arial" w:cs="Arial"/>
          <w:sz w:val="24"/>
          <w:szCs w:val="24"/>
        </w:rPr>
        <w:t>. However,</w:t>
      </w:r>
      <w:r w:rsidR="00844FE9" w:rsidRPr="00E2407B">
        <w:rPr>
          <w:rFonts w:eastAsia="Arial" w:cs="Arial"/>
          <w:sz w:val="24"/>
          <w:szCs w:val="24"/>
        </w:rPr>
        <w:t xml:space="preserve"> as the principle action of intestinal lipases is not within the lumen of the GI tract, </w:t>
      </w:r>
      <w:r w:rsidR="00E2407B" w:rsidRPr="00E2407B">
        <w:rPr>
          <w:rFonts w:eastAsia="Arial" w:cs="Arial"/>
          <w:sz w:val="24"/>
          <w:szCs w:val="24"/>
        </w:rPr>
        <w:t xml:space="preserve">but is </w:t>
      </w:r>
      <w:r w:rsidR="00844FE9" w:rsidRPr="00E2407B">
        <w:rPr>
          <w:rFonts w:eastAsia="Arial" w:cs="Arial"/>
          <w:sz w:val="24"/>
          <w:szCs w:val="24"/>
        </w:rPr>
        <w:t xml:space="preserve">rather within </w:t>
      </w:r>
      <w:r w:rsidR="00E2407B" w:rsidRPr="00E2407B">
        <w:rPr>
          <w:rFonts w:eastAsia="Arial" w:cs="Arial"/>
          <w:sz w:val="24"/>
          <w:szCs w:val="24"/>
        </w:rPr>
        <w:t>the intestinal epithelium</w:t>
      </w:r>
      <w:r w:rsidR="00844FE9" w:rsidRPr="00E2407B">
        <w:rPr>
          <w:rFonts w:eastAsia="Arial" w:cs="Arial"/>
          <w:sz w:val="24"/>
          <w:szCs w:val="24"/>
        </w:rPr>
        <w:t xml:space="preserve">, this is unlikely to be an issue in experiments performed in Ussing chambers. On the other hand, this is possible </w:t>
      </w:r>
      <w:r w:rsidR="001F3150" w:rsidRPr="007E40D5">
        <w:rPr>
          <w:rFonts w:eastAsia="Arial"/>
          <w:i/>
          <w:sz w:val="24"/>
        </w:rPr>
        <w:t>in vivo</w:t>
      </w:r>
      <w:r w:rsidR="00844FE9" w:rsidRPr="00E2407B">
        <w:rPr>
          <w:rFonts w:eastAsia="Arial" w:cs="Arial"/>
          <w:sz w:val="24"/>
          <w:szCs w:val="24"/>
        </w:rPr>
        <w:t xml:space="preserve"> where sufficiently high concentrations of pancreatic lipase is found within the lumen of the GI tract. </w:t>
      </w:r>
      <w:r w:rsidR="006B680F" w:rsidRPr="00E2407B">
        <w:rPr>
          <w:rFonts w:eastAsia="Arial" w:cs="Arial"/>
          <w:sz w:val="24"/>
          <w:szCs w:val="24"/>
        </w:rPr>
        <w:t>Indeed, t</w:t>
      </w:r>
      <w:r w:rsidR="00844FE9" w:rsidRPr="00E2407B">
        <w:rPr>
          <w:rFonts w:eastAsia="Arial" w:cs="Arial"/>
          <w:sz w:val="24"/>
          <w:szCs w:val="24"/>
        </w:rPr>
        <w:t>here is evidence that d</w:t>
      </w:r>
      <w:r w:rsidRPr="00E2407B">
        <w:rPr>
          <w:rFonts w:eastAsia="Arial" w:cs="Arial"/>
          <w:sz w:val="24"/>
          <w:szCs w:val="24"/>
        </w:rPr>
        <w:t>igestion products of Labrasol® can prevent precipitation of the BCS Class II drug cinnarizine and the degradation products of LBFs are widely known to alter intestinal solubility [</w:t>
      </w:r>
      <w:r w:rsidR="006A20E1">
        <w:t>50, 51</w:t>
      </w:r>
      <w:r w:rsidRPr="00E2407B">
        <w:rPr>
          <w:rFonts w:eastAsia="Arial" w:cs="Arial"/>
          <w:sz w:val="24"/>
          <w:szCs w:val="24"/>
        </w:rPr>
        <w:t>]. An understanding of the effect</w:t>
      </w:r>
      <w:r w:rsidR="00033581">
        <w:rPr>
          <w:rFonts w:eastAsia="Arial" w:cs="Arial"/>
          <w:sz w:val="24"/>
          <w:szCs w:val="24"/>
        </w:rPr>
        <w:t>s</w:t>
      </w:r>
      <w:r w:rsidRPr="00E2407B">
        <w:rPr>
          <w:rFonts w:eastAsia="Arial" w:cs="Arial"/>
          <w:sz w:val="24"/>
          <w:szCs w:val="24"/>
        </w:rPr>
        <w:t xml:space="preserve"> of digestion products of LBFs on intestinal permeability </w:t>
      </w:r>
      <w:r w:rsidR="00B6058D">
        <w:rPr>
          <w:rFonts w:eastAsia="Arial" w:cs="Arial"/>
          <w:sz w:val="24"/>
          <w:szCs w:val="24"/>
        </w:rPr>
        <w:t>may</w:t>
      </w:r>
      <w:r w:rsidRPr="00E2407B">
        <w:rPr>
          <w:rFonts w:eastAsia="Arial" w:cs="Arial"/>
          <w:sz w:val="24"/>
          <w:szCs w:val="24"/>
        </w:rPr>
        <w:t xml:space="preserve"> improv</w:t>
      </w:r>
      <w:r w:rsidR="00033581">
        <w:rPr>
          <w:rFonts w:eastAsia="Arial" w:cs="Arial"/>
          <w:sz w:val="24"/>
          <w:szCs w:val="24"/>
        </w:rPr>
        <w:t>e the</w:t>
      </w:r>
      <w:r w:rsidRPr="00E2407B">
        <w:rPr>
          <w:rFonts w:eastAsia="Arial" w:cs="Arial"/>
          <w:sz w:val="24"/>
          <w:szCs w:val="24"/>
        </w:rPr>
        <w:t xml:space="preserve"> predictive power of permeability models</w:t>
      </w:r>
      <w:r w:rsidR="00033581">
        <w:rPr>
          <w:rFonts w:eastAsia="Arial" w:cs="Arial"/>
          <w:sz w:val="24"/>
          <w:szCs w:val="24"/>
        </w:rPr>
        <w:t>.</w:t>
      </w:r>
      <w:r w:rsidRPr="00E2407B">
        <w:rPr>
          <w:rFonts w:eastAsia="Arial" w:cs="Arial"/>
          <w:sz w:val="24"/>
          <w:szCs w:val="24"/>
        </w:rPr>
        <w:t xml:space="preserve"> A recent study present</w:t>
      </w:r>
      <w:r w:rsidR="00033581">
        <w:rPr>
          <w:rFonts w:eastAsia="Arial" w:cs="Arial"/>
          <w:sz w:val="24"/>
          <w:szCs w:val="24"/>
        </w:rPr>
        <w:t>ed</w:t>
      </w:r>
      <w:r w:rsidRPr="00E2407B">
        <w:rPr>
          <w:rFonts w:eastAsia="Arial" w:cs="Arial"/>
          <w:sz w:val="24"/>
          <w:szCs w:val="24"/>
        </w:rPr>
        <w:t xml:space="preserve"> evidence that digestion products of LBFs can alter permeability </w:t>
      </w:r>
      <w:r w:rsidR="00033581">
        <w:rPr>
          <w:rFonts w:eastAsia="Arial" w:cs="Arial"/>
          <w:sz w:val="24"/>
          <w:szCs w:val="24"/>
        </w:rPr>
        <w:t>of</w:t>
      </w:r>
      <w:r w:rsidRPr="00E2407B">
        <w:rPr>
          <w:rFonts w:eastAsia="Arial" w:cs="Arial"/>
          <w:sz w:val="24"/>
          <w:szCs w:val="24"/>
        </w:rPr>
        <w:t xml:space="preserve"> Caco-2 monolayers [</w:t>
      </w:r>
      <w:hyperlink w:anchor="_2lwamvv">
        <w:r w:rsidR="006A20E1">
          <w:rPr>
            <w:rFonts w:eastAsia="Arial" w:cs="Arial"/>
            <w:sz w:val="24"/>
            <w:szCs w:val="24"/>
          </w:rPr>
          <w:t>52</w:t>
        </w:r>
      </w:hyperlink>
      <w:r w:rsidRPr="00E2407B">
        <w:rPr>
          <w:rFonts w:eastAsia="Arial" w:cs="Arial"/>
          <w:sz w:val="24"/>
          <w:szCs w:val="24"/>
        </w:rPr>
        <w:t xml:space="preserve">]. </w:t>
      </w:r>
      <w:r w:rsidR="00033581">
        <w:rPr>
          <w:rFonts w:eastAsia="Arial" w:cs="Arial"/>
          <w:sz w:val="24"/>
          <w:szCs w:val="24"/>
        </w:rPr>
        <w:t>Such data</w:t>
      </w:r>
      <w:r w:rsidRPr="00E2407B">
        <w:rPr>
          <w:rFonts w:eastAsia="Arial" w:cs="Arial"/>
          <w:sz w:val="24"/>
          <w:szCs w:val="24"/>
        </w:rPr>
        <w:t xml:space="preserve"> highlights the requirement for further assessment of how degradation products of LBFs </w:t>
      </w:r>
      <w:r w:rsidR="00033581">
        <w:rPr>
          <w:rFonts w:eastAsia="Arial" w:cs="Arial"/>
          <w:sz w:val="24"/>
          <w:szCs w:val="24"/>
        </w:rPr>
        <w:t>including for example, Labrasol</w:t>
      </w:r>
      <w:r w:rsidR="00033581">
        <w:rPr>
          <w:rFonts w:eastAsia="Arial"/>
          <w:sz w:val="24"/>
          <w:szCs w:val="24"/>
        </w:rPr>
        <w:t>®</w:t>
      </w:r>
      <w:r w:rsidR="00033581">
        <w:rPr>
          <w:rFonts w:eastAsia="Arial" w:cs="Arial"/>
          <w:sz w:val="24"/>
          <w:szCs w:val="24"/>
        </w:rPr>
        <w:t xml:space="preserve"> </w:t>
      </w:r>
      <w:r w:rsidRPr="00E2407B">
        <w:rPr>
          <w:rFonts w:eastAsia="Arial" w:cs="Arial"/>
          <w:sz w:val="24"/>
          <w:szCs w:val="24"/>
        </w:rPr>
        <w:t>impact intestinal permeability.</w:t>
      </w:r>
    </w:p>
    <w:p w14:paraId="4DA7C331" w14:textId="77777777" w:rsidR="00720511" w:rsidRPr="00E2407B" w:rsidRDefault="00720511" w:rsidP="00E2407B">
      <w:pPr>
        <w:spacing w:after="0" w:line="360" w:lineRule="auto"/>
        <w:rPr>
          <w:rFonts w:eastAsia="Arial" w:cs="Arial"/>
          <w:b/>
          <w:sz w:val="24"/>
          <w:szCs w:val="24"/>
        </w:rPr>
      </w:pPr>
    </w:p>
    <w:p w14:paraId="37F8033F" w14:textId="77777777" w:rsidR="00720511" w:rsidRPr="00E2407B" w:rsidRDefault="00942B2B" w:rsidP="00E2407B">
      <w:pPr>
        <w:spacing w:after="0" w:line="360" w:lineRule="auto"/>
        <w:rPr>
          <w:rFonts w:eastAsia="Arial" w:cs="Arial"/>
          <w:b/>
          <w:sz w:val="24"/>
          <w:szCs w:val="24"/>
        </w:rPr>
      </w:pPr>
      <w:r w:rsidRPr="00E2407B">
        <w:rPr>
          <w:rFonts w:eastAsia="Arial" w:cs="Arial"/>
          <w:b/>
          <w:sz w:val="24"/>
          <w:szCs w:val="24"/>
        </w:rPr>
        <w:t>CONCLUSIONS</w:t>
      </w:r>
    </w:p>
    <w:p w14:paraId="40A15690" w14:textId="3E6E9369" w:rsidR="00720511" w:rsidRPr="00E2407B" w:rsidRDefault="00942B2B" w:rsidP="00E2407B">
      <w:pPr>
        <w:spacing w:after="0" w:line="360" w:lineRule="auto"/>
        <w:rPr>
          <w:rFonts w:eastAsia="Arial" w:cs="Arial"/>
          <w:sz w:val="24"/>
          <w:szCs w:val="24"/>
        </w:rPr>
      </w:pPr>
      <w:r w:rsidRPr="00E2407B">
        <w:rPr>
          <w:rFonts w:eastAsia="Arial" w:cs="Arial"/>
          <w:sz w:val="24"/>
          <w:szCs w:val="24"/>
        </w:rPr>
        <w:t>Mixtures of Labrasol® and MCFAs increased intestinal flux of FD4 across rat colonic mucosae to a greater extent than each individual constituent. Combinations of Labrasol® with C</w:t>
      </w:r>
      <w:r w:rsidRPr="00E2407B">
        <w:rPr>
          <w:rFonts w:eastAsia="Arial" w:cs="Arial"/>
          <w:sz w:val="24"/>
          <w:szCs w:val="24"/>
          <w:vertAlign w:val="subscript"/>
        </w:rPr>
        <w:t>11:1</w:t>
      </w:r>
      <w:r w:rsidRPr="00E2407B">
        <w:rPr>
          <w:rFonts w:eastAsia="Arial" w:cs="Arial"/>
          <w:sz w:val="24"/>
          <w:szCs w:val="24"/>
        </w:rPr>
        <w:t xml:space="preserve"> induced the greatest increase on FD4 permeability compared to Labrasol® alone and Labrasol® in combination with either C</w:t>
      </w:r>
      <w:r w:rsidRPr="00E2407B">
        <w:rPr>
          <w:rFonts w:eastAsia="Arial" w:cs="Arial"/>
          <w:sz w:val="24"/>
          <w:szCs w:val="24"/>
          <w:vertAlign w:val="subscript"/>
        </w:rPr>
        <w:t>10</w:t>
      </w:r>
      <w:r w:rsidRPr="00E2407B">
        <w:rPr>
          <w:rFonts w:eastAsia="Arial" w:cs="Arial"/>
          <w:sz w:val="24"/>
          <w:szCs w:val="24"/>
        </w:rPr>
        <w:t xml:space="preserve"> or C</w:t>
      </w:r>
      <w:r w:rsidRPr="00E2407B">
        <w:rPr>
          <w:rFonts w:eastAsia="Arial" w:cs="Arial"/>
          <w:sz w:val="24"/>
          <w:szCs w:val="24"/>
          <w:vertAlign w:val="subscript"/>
        </w:rPr>
        <w:t>12</w:t>
      </w:r>
      <w:r w:rsidRPr="00E2407B">
        <w:rPr>
          <w:rFonts w:eastAsia="Arial" w:cs="Arial"/>
          <w:sz w:val="24"/>
          <w:szCs w:val="24"/>
        </w:rPr>
        <w:t>. Increases in intestinal permeability by surfactant blends w</w:t>
      </w:r>
      <w:r w:rsidR="00D4533E">
        <w:rPr>
          <w:rFonts w:eastAsia="Arial" w:cs="Arial"/>
          <w:sz w:val="24"/>
          <w:szCs w:val="24"/>
        </w:rPr>
        <w:t>ere</w:t>
      </w:r>
      <w:r w:rsidRPr="00E2407B">
        <w:rPr>
          <w:rFonts w:eastAsia="Arial" w:cs="Arial"/>
          <w:sz w:val="24"/>
          <w:szCs w:val="24"/>
        </w:rPr>
        <w:t xml:space="preserve"> associated with mild mucosal perturbation and the extent correlated </w:t>
      </w:r>
      <w:r w:rsidRPr="00E2407B">
        <w:rPr>
          <w:rFonts w:eastAsia="Arial" w:cs="Arial"/>
          <w:sz w:val="24"/>
          <w:szCs w:val="24"/>
        </w:rPr>
        <w:lastRenderedPageBreak/>
        <w:t xml:space="preserve">with permeation enhancement. Lipoid dispersions supplemented with MCFAs warrant further evaluation for capacity to increase absorption of poorly permeable macromolecules as ad-mixtures and emulsions in rat </w:t>
      </w:r>
      <w:r w:rsidRPr="00E2407B">
        <w:rPr>
          <w:rFonts w:eastAsia="Arial" w:cs="Arial"/>
          <w:i/>
          <w:sz w:val="24"/>
          <w:szCs w:val="24"/>
        </w:rPr>
        <w:t>in vivo</w:t>
      </w:r>
      <w:r w:rsidRPr="00E2407B">
        <w:rPr>
          <w:rFonts w:eastAsia="Arial" w:cs="Arial"/>
          <w:sz w:val="24"/>
          <w:szCs w:val="24"/>
        </w:rPr>
        <w:t xml:space="preserve"> loop gut instillation models.</w:t>
      </w:r>
    </w:p>
    <w:p w14:paraId="0882A184" w14:textId="77777777" w:rsidR="00720511" w:rsidRPr="00E2407B" w:rsidRDefault="00720511" w:rsidP="00E2407B">
      <w:pPr>
        <w:spacing w:after="0" w:line="360" w:lineRule="auto"/>
        <w:rPr>
          <w:rFonts w:eastAsia="Arial" w:cs="Arial"/>
          <w:b/>
          <w:sz w:val="24"/>
          <w:szCs w:val="24"/>
        </w:rPr>
      </w:pPr>
    </w:p>
    <w:p w14:paraId="167AF835" w14:textId="77777777" w:rsidR="00720511" w:rsidRPr="00E2407B" w:rsidRDefault="00942B2B" w:rsidP="00E2407B">
      <w:pPr>
        <w:spacing w:after="0" w:line="360" w:lineRule="auto"/>
        <w:rPr>
          <w:rFonts w:eastAsia="Arial" w:cs="Arial"/>
          <w:b/>
          <w:sz w:val="24"/>
          <w:szCs w:val="24"/>
        </w:rPr>
      </w:pPr>
      <w:r w:rsidRPr="00E2407B">
        <w:rPr>
          <w:rFonts w:eastAsia="Arial" w:cs="Arial"/>
          <w:b/>
          <w:sz w:val="24"/>
          <w:szCs w:val="24"/>
        </w:rPr>
        <w:t>ACKNOWLEDGEMENTS</w:t>
      </w:r>
    </w:p>
    <w:p w14:paraId="0690C606" w14:textId="20D56A44" w:rsidR="00720511" w:rsidRPr="00E2407B" w:rsidRDefault="00942B2B" w:rsidP="00E2407B">
      <w:pPr>
        <w:spacing w:line="360" w:lineRule="auto"/>
        <w:rPr>
          <w:rFonts w:eastAsia="Arial" w:cs="Arial"/>
          <w:sz w:val="24"/>
          <w:szCs w:val="24"/>
          <w:highlight w:val="white"/>
        </w:rPr>
      </w:pPr>
      <w:r w:rsidRPr="00E2407B">
        <w:rPr>
          <w:rFonts w:eastAsia="Arial" w:cs="Arial"/>
          <w:sz w:val="24"/>
          <w:szCs w:val="24"/>
          <w:highlight w:val="white"/>
        </w:rPr>
        <w:t xml:space="preserve">The study was financially supported in part by AnaBio Technologies Ltd (Dublin, Ireland), </w:t>
      </w:r>
      <w:r w:rsidR="00305A92">
        <w:rPr>
          <w:rFonts w:eastAsia="Arial" w:cs="Arial"/>
          <w:sz w:val="24"/>
          <w:szCs w:val="24"/>
          <w:highlight w:val="white"/>
        </w:rPr>
        <w:t>The Irish Research Council Employment-Based Postgraduate Scholarship Scheme</w:t>
      </w:r>
      <w:r w:rsidR="003804DC">
        <w:rPr>
          <w:rFonts w:eastAsia="Arial" w:cs="Arial"/>
          <w:sz w:val="24"/>
          <w:szCs w:val="24"/>
          <w:highlight w:val="white"/>
        </w:rPr>
        <w:t>, EPBBG/2015/133,</w:t>
      </w:r>
      <w:r w:rsidR="00305A92">
        <w:rPr>
          <w:rFonts w:eastAsia="Arial" w:cs="Arial"/>
          <w:sz w:val="24"/>
          <w:szCs w:val="24"/>
          <w:highlight w:val="white"/>
        </w:rPr>
        <w:t xml:space="preserve"> </w:t>
      </w:r>
      <w:r w:rsidRPr="00E2407B">
        <w:rPr>
          <w:rFonts w:eastAsia="Arial" w:cs="Arial"/>
          <w:sz w:val="24"/>
          <w:szCs w:val="24"/>
          <w:highlight w:val="white"/>
        </w:rPr>
        <w:t>Science Foundation Ireland (Grant Number 13/RC/2073) (The Centre for Medical Devices (CURAM), and the European Regional Development Fund.</w:t>
      </w:r>
    </w:p>
    <w:p w14:paraId="7B099391" w14:textId="5182AF29" w:rsidR="009833EC" w:rsidRDefault="00942B2B" w:rsidP="00E2407B">
      <w:pPr>
        <w:spacing w:line="360" w:lineRule="auto"/>
        <w:rPr>
          <w:rFonts w:eastAsia="Arial" w:cs="Arial"/>
          <w:sz w:val="24"/>
          <w:szCs w:val="24"/>
          <w:highlight w:val="white"/>
        </w:rPr>
      </w:pPr>
      <w:r w:rsidRPr="00E2407B">
        <w:rPr>
          <w:rFonts w:eastAsia="Arial" w:cs="Arial"/>
          <w:b/>
          <w:sz w:val="24"/>
          <w:szCs w:val="24"/>
          <w:highlight w:val="white"/>
        </w:rPr>
        <w:t>Competing interest statement:</w:t>
      </w:r>
      <w:r w:rsidRPr="00E2407B">
        <w:rPr>
          <w:rFonts w:eastAsia="Arial" w:cs="Arial"/>
          <w:sz w:val="24"/>
          <w:szCs w:val="24"/>
          <w:highlight w:val="white"/>
        </w:rPr>
        <w:t xml:space="preserve">  Gattefoss</w:t>
      </w:r>
      <w:r w:rsidR="006B680F" w:rsidRPr="00E2407B">
        <w:rPr>
          <w:rFonts w:eastAsia="Arial" w:cs="Arial"/>
          <w:sz w:val="24"/>
          <w:szCs w:val="24"/>
        </w:rPr>
        <w:t>é</w:t>
      </w:r>
      <w:r w:rsidR="006B680F" w:rsidRPr="00E2407B" w:rsidDel="006B680F">
        <w:rPr>
          <w:rFonts w:eastAsia="Arial" w:cs="Arial"/>
          <w:sz w:val="24"/>
          <w:szCs w:val="24"/>
          <w:highlight w:val="white"/>
        </w:rPr>
        <w:t xml:space="preserve"> </w:t>
      </w:r>
      <w:r w:rsidRPr="00E2407B">
        <w:rPr>
          <w:rFonts w:eastAsia="Arial" w:cs="Arial"/>
          <w:sz w:val="24"/>
          <w:szCs w:val="24"/>
          <w:highlight w:val="white"/>
        </w:rPr>
        <w:t xml:space="preserve">(Lyon, France) currently support a Post-Doctoral Fellow in the Brayden lab. </w:t>
      </w:r>
      <w:r w:rsidR="003524D6">
        <w:rPr>
          <w:rFonts w:eastAsia="Arial" w:cs="Arial"/>
          <w:sz w:val="24"/>
          <w:szCs w:val="24"/>
          <w:highlight w:val="white"/>
        </w:rPr>
        <w:t>SB is an employee of Ana</w:t>
      </w:r>
      <w:r w:rsidR="00D4533E">
        <w:rPr>
          <w:rFonts w:eastAsia="Arial" w:cs="Arial"/>
          <w:sz w:val="24"/>
          <w:szCs w:val="24"/>
          <w:highlight w:val="white"/>
        </w:rPr>
        <w:t>B</w:t>
      </w:r>
      <w:r w:rsidR="003524D6">
        <w:rPr>
          <w:rFonts w:eastAsia="Arial" w:cs="Arial"/>
          <w:sz w:val="24"/>
          <w:szCs w:val="24"/>
          <w:highlight w:val="white"/>
        </w:rPr>
        <w:t xml:space="preserve">io Technologies Ltd. </w:t>
      </w:r>
    </w:p>
    <w:p w14:paraId="396F1524" w14:textId="77777777" w:rsidR="009833EC" w:rsidRDefault="009833EC" w:rsidP="00E2407B">
      <w:pPr>
        <w:spacing w:line="360" w:lineRule="auto"/>
        <w:rPr>
          <w:rFonts w:eastAsia="Arial" w:cs="Arial"/>
          <w:sz w:val="24"/>
          <w:szCs w:val="24"/>
          <w:highlight w:val="white"/>
        </w:rPr>
      </w:pPr>
    </w:p>
    <w:p w14:paraId="758ADC78" w14:textId="77777777" w:rsidR="009833EC" w:rsidRDefault="009833EC" w:rsidP="00E2407B">
      <w:pPr>
        <w:spacing w:line="360" w:lineRule="auto"/>
        <w:rPr>
          <w:rFonts w:eastAsia="Arial" w:cs="Arial"/>
          <w:sz w:val="24"/>
          <w:szCs w:val="24"/>
          <w:highlight w:val="white"/>
        </w:rPr>
      </w:pPr>
    </w:p>
    <w:p w14:paraId="6B38D1FD" w14:textId="77777777" w:rsidR="009833EC" w:rsidRDefault="009833EC" w:rsidP="00E2407B">
      <w:pPr>
        <w:spacing w:line="360" w:lineRule="auto"/>
        <w:rPr>
          <w:rFonts w:eastAsia="Arial" w:cs="Arial"/>
          <w:sz w:val="24"/>
          <w:szCs w:val="24"/>
          <w:highlight w:val="white"/>
        </w:rPr>
      </w:pPr>
    </w:p>
    <w:p w14:paraId="7DDCD469" w14:textId="77777777" w:rsidR="009833EC" w:rsidRDefault="009833EC" w:rsidP="00E2407B">
      <w:pPr>
        <w:spacing w:line="360" w:lineRule="auto"/>
        <w:rPr>
          <w:rFonts w:eastAsia="Arial" w:cs="Arial"/>
          <w:sz w:val="24"/>
          <w:szCs w:val="24"/>
          <w:highlight w:val="white"/>
        </w:rPr>
      </w:pPr>
    </w:p>
    <w:p w14:paraId="1BCDC9F1" w14:textId="77777777" w:rsidR="009833EC" w:rsidRDefault="009833EC" w:rsidP="00E2407B">
      <w:pPr>
        <w:spacing w:line="360" w:lineRule="auto"/>
        <w:rPr>
          <w:rFonts w:eastAsia="Arial" w:cs="Arial"/>
          <w:sz w:val="24"/>
          <w:szCs w:val="24"/>
          <w:highlight w:val="white"/>
        </w:rPr>
      </w:pPr>
    </w:p>
    <w:p w14:paraId="40C8D786" w14:textId="77777777" w:rsidR="009833EC" w:rsidRDefault="009833EC" w:rsidP="00E2407B">
      <w:pPr>
        <w:spacing w:line="360" w:lineRule="auto"/>
        <w:rPr>
          <w:rFonts w:eastAsia="Arial" w:cs="Arial"/>
          <w:sz w:val="24"/>
          <w:szCs w:val="24"/>
          <w:highlight w:val="white"/>
        </w:rPr>
      </w:pPr>
    </w:p>
    <w:p w14:paraId="740119A0" w14:textId="77777777" w:rsidR="009833EC" w:rsidRDefault="009833EC" w:rsidP="00E2407B">
      <w:pPr>
        <w:spacing w:line="360" w:lineRule="auto"/>
        <w:rPr>
          <w:rFonts w:eastAsia="Arial" w:cs="Arial"/>
          <w:sz w:val="24"/>
          <w:szCs w:val="24"/>
          <w:highlight w:val="white"/>
        </w:rPr>
      </w:pPr>
    </w:p>
    <w:p w14:paraId="6941092E" w14:textId="77777777" w:rsidR="009833EC" w:rsidRDefault="009833EC" w:rsidP="00E2407B">
      <w:pPr>
        <w:spacing w:line="360" w:lineRule="auto"/>
        <w:rPr>
          <w:rFonts w:eastAsia="Arial" w:cs="Arial"/>
          <w:sz w:val="24"/>
          <w:szCs w:val="24"/>
          <w:highlight w:val="white"/>
        </w:rPr>
      </w:pPr>
    </w:p>
    <w:p w14:paraId="435B8EAA" w14:textId="1D8697CE" w:rsidR="003524D6" w:rsidRDefault="00841C5B" w:rsidP="00E2407B">
      <w:pPr>
        <w:spacing w:line="360" w:lineRule="auto"/>
        <w:rPr>
          <w:rFonts w:eastAsia="Arial" w:cs="Arial"/>
          <w:sz w:val="24"/>
          <w:szCs w:val="24"/>
          <w:highlight w:val="white"/>
        </w:rPr>
      </w:pPr>
      <w:r>
        <w:rPr>
          <w:rFonts w:eastAsia="Arial" w:cs="Arial"/>
          <w:sz w:val="24"/>
          <w:szCs w:val="24"/>
          <w:highlight w:val="white"/>
        </w:rPr>
        <w:br/>
      </w:r>
    </w:p>
    <w:p w14:paraId="43F49108" w14:textId="77777777" w:rsidR="005C539D" w:rsidRDefault="005C539D" w:rsidP="00E2407B">
      <w:pPr>
        <w:spacing w:line="360" w:lineRule="auto"/>
        <w:rPr>
          <w:rFonts w:eastAsia="Arial" w:cs="Arial"/>
          <w:sz w:val="24"/>
          <w:szCs w:val="24"/>
          <w:highlight w:val="white"/>
        </w:rPr>
      </w:pPr>
    </w:p>
    <w:p w14:paraId="186CC789" w14:textId="77777777" w:rsidR="005C539D" w:rsidRDefault="005C539D" w:rsidP="00E2407B">
      <w:pPr>
        <w:spacing w:line="360" w:lineRule="auto"/>
        <w:rPr>
          <w:rFonts w:eastAsia="Arial" w:cs="Arial"/>
          <w:sz w:val="24"/>
          <w:szCs w:val="24"/>
          <w:highlight w:val="white"/>
        </w:rPr>
      </w:pPr>
    </w:p>
    <w:p w14:paraId="157376F6" w14:textId="77777777" w:rsidR="008E4EA5" w:rsidRDefault="008E4EA5" w:rsidP="00E2407B">
      <w:pPr>
        <w:spacing w:line="360" w:lineRule="auto"/>
        <w:rPr>
          <w:rFonts w:eastAsia="Arial" w:cs="Arial"/>
          <w:sz w:val="24"/>
          <w:szCs w:val="24"/>
          <w:highlight w:val="white"/>
        </w:rPr>
      </w:pPr>
    </w:p>
    <w:p w14:paraId="73D19935" w14:textId="77777777" w:rsidR="008E4EA5" w:rsidRDefault="008E4EA5" w:rsidP="00E2407B">
      <w:pPr>
        <w:spacing w:line="360" w:lineRule="auto"/>
        <w:rPr>
          <w:rFonts w:eastAsia="Arial" w:cs="Arial"/>
          <w:sz w:val="24"/>
          <w:szCs w:val="24"/>
          <w:highlight w:val="white"/>
        </w:rPr>
      </w:pPr>
    </w:p>
    <w:p w14:paraId="4AEF84A8" w14:textId="77777777" w:rsidR="008E4EA5" w:rsidRDefault="008E4EA5" w:rsidP="00E2407B">
      <w:pPr>
        <w:spacing w:line="360" w:lineRule="auto"/>
        <w:rPr>
          <w:rFonts w:eastAsia="Arial" w:cs="Arial"/>
          <w:sz w:val="24"/>
          <w:szCs w:val="24"/>
          <w:highlight w:val="white"/>
        </w:rPr>
      </w:pPr>
    </w:p>
    <w:p w14:paraId="088AF441" w14:textId="77777777" w:rsidR="003804DC" w:rsidRDefault="003804DC" w:rsidP="00E2407B">
      <w:pPr>
        <w:spacing w:line="360" w:lineRule="auto"/>
        <w:rPr>
          <w:rFonts w:eastAsia="Arial" w:cs="Arial"/>
          <w:sz w:val="24"/>
          <w:szCs w:val="24"/>
          <w:highlight w:val="white"/>
        </w:rPr>
      </w:pPr>
    </w:p>
    <w:p w14:paraId="2A7CE182" w14:textId="77777777" w:rsidR="00720511" w:rsidRPr="00E2407B" w:rsidRDefault="00942B2B" w:rsidP="00E2407B">
      <w:pPr>
        <w:spacing w:line="360" w:lineRule="auto"/>
        <w:rPr>
          <w:rFonts w:eastAsia="Arial" w:cs="Arial"/>
          <w:b/>
          <w:sz w:val="24"/>
          <w:szCs w:val="24"/>
        </w:rPr>
      </w:pPr>
      <w:r w:rsidRPr="00E2407B">
        <w:rPr>
          <w:rFonts w:eastAsia="Arial" w:cs="Arial"/>
          <w:b/>
          <w:sz w:val="24"/>
          <w:szCs w:val="24"/>
        </w:rPr>
        <w:t>FIGURE LEGENDS</w:t>
      </w:r>
    </w:p>
    <w:p w14:paraId="13E3F239" w14:textId="6C93C497" w:rsidR="000C4F50" w:rsidRDefault="00942B2B" w:rsidP="00E2407B">
      <w:pPr>
        <w:spacing w:after="0" w:line="360" w:lineRule="auto"/>
        <w:rPr>
          <w:rFonts w:eastAsia="Arial"/>
          <w:sz w:val="24"/>
          <w:szCs w:val="24"/>
        </w:rPr>
      </w:pPr>
      <w:r w:rsidRPr="00E2407B">
        <w:rPr>
          <w:rFonts w:eastAsia="Arial"/>
          <w:b/>
          <w:sz w:val="24"/>
          <w:szCs w:val="24"/>
        </w:rPr>
        <w:t>Fig. 1</w:t>
      </w:r>
      <w:r w:rsidRPr="00E2407B">
        <w:rPr>
          <w:rFonts w:eastAsia="Arial"/>
          <w:sz w:val="24"/>
          <w:szCs w:val="24"/>
        </w:rPr>
        <w:t xml:space="preserve">: Effect of Labrasol® and MCFA on TEER across isolated rat colonic mucosae. Each value represents the mean ± SEM (n=3-9). Panel shows </w:t>
      </w:r>
      <w:bookmarkStart w:id="2" w:name="_Hlk503190609"/>
      <w:r w:rsidRPr="00E2407B">
        <w:rPr>
          <w:rFonts w:eastAsia="Arial"/>
          <w:sz w:val="24"/>
          <w:szCs w:val="24"/>
        </w:rPr>
        <w:t>Labrasol</w:t>
      </w:r>
      <w:bookmarkStart w:id="3" w:name="OLE_LINK1"/>
      <w:r w:rsidRPr="00E2407B">
        <w:rPr>
          <w:rFonts w:eastAsia="Arial"/>
          <w:sz w:val="24"/>
          <w:szCs w:val="24"/>
        </w:rPr>
        <w:t>®</w:t>
      </w:r>
      <w:bookmarkEnd w:id="3"/>
      <w:r w:rsidRPr="00E2407B">
        <w:rPr>
          <w:rFonts w:eastAsia="Arial"/>
          <w:sz w:val="24"/>
          <w:szCs w:val="24"/>
        </w:rPr>
        <w:t xml:space="preserve"> (1 mg/mL) </w:t>
      </w:r>
      <w:bookmarkEnd w:id="2"/>
      <w:r w:rsidRPr="00E2407B">
        <w:rPr>
          <w:rFonts w:eastAsia="Arial"/>
          <w:sz w:val="24"/>
          <w:szCs w:val="24"/>
        </w:rPr>
        <w:t xml:space="preserve">with and without </w:t>
      </w:r>
      <w:r w:rsidR="00460920">
        <w:rPr>
          <w:rFonts w:eastAsia="Arial"/>
          <w:sz w:val="24"/>
          <w:szCs w:val="24"/>
        </w:rPr>
        <w:t>MCFA. Symbols: × Control, ○</w:t>
      </w:r>
      <w:r w:rsidR="00460920" w:rsidRPr="00460920">
        <w:t xml:space="preserve"> </w:t>
      </w:r>
      <w:r w:rsidR="00460920" w:rsidRPr="00460920">
        <w:rPr>
          <w:rFonts w:eastAsia="Arial"/>
          <w:sz w:val="24"/>
          <w:szCs w:val="24"/>
        </w:rPr>
        <w:t>Labrasol® (1 mg/mL)</w:t>
      </w:r>
      <w:r w:rsidR="00460920">
        <w:rPr>
          <w:rFonts w:eastAsia="Arial"/>
          <w:sz w:val="24"/>
          <w:szCs w:val="24"/>
        </w:rPr>
        <w:t>, ■ MCFA, ∆ Labrasol</w:t>
      </w:r>
      <w:r w:rsidR="00460920" w:rsidRPr="00460920">
        <w:rPr>
          <w:rFonts w:eastAsia="Arial"/>
          <w:sz w:val="24"/>
          <w:szCs w:val="24"/>
        </w:rPr>
        <w:t>®</w:t>
      </w:r>
      <w:r w:rsidR="00460920">
        <w:rPr>
          <w:rFonts w:eastAsia="Arial"/>
          <w:sz w:val="24"/>
          <w:szCs w:val="24"/>
        </w:rPr>
        <w:t xml:space="preserve"> +MCFA. </w:t>
      </w:r>
      <w:r w:rsidR="001163AC">
        <w:rPr>
          <w:rFonts w:eastAsia="Arial"/>
          <w:sz w:val="24"/>
          <w:szCs w:val="24"/>
        </w:rPr>
        <w:t>Each panel</w:t>
      </w:r>
      <w:r w:rsidR="00435872" w:rsidRPr="00435872">
        <w:rPr>
          <w:rFonts w:eastAsia="Arial"/>
          <w:sz w:val="24"/>
          <w:szCs w:val="24"/>
        </w:rPr>
        <w:t xml:space="preserve"> has the MCFA in the title and the symbols are the same </w:t>
      </w:r>
      <w:r w:rsidR="001163AC">
        <w:rPr>
          <w:rFonts w:eastAsia="Arial"/>
          <w:sz w:val="24"/>
          <w:szCs w:val="24"/>
        </w:rPr>
        <w:t>throughout. E</w:t>
      </w:r>
      <w:r w:rsidR="00435872">
        <w:rPr>
          <w:rFonts w:eastAsia="Arial"/>
          <w:sz w:val="24"/>
          <w:szCs w:val="24"/>
        </w:rPr>
        <w:t xml:space="preserve">ach </w:t>
      </w:r>
      <w:r w:rsidR="001163AC">
        <w:rPr>
          <w:rFonts w:eastAsia="Arial"/>
          <w:sz w:val="24"/>
          <w:szCs w:val="24"/>
        </w:rPr>
        <w:t>panel</w:t>
      </w:r>
      <w:r w:rsidR="00435872">
        <w:rPr>
          <w:rFonts w:eastAsia="Arial"/>
          <w:sz w:val="24"/>
          <w:szCs w:val="24"/>
        </w:rPr>
        <w:t xml:space="preserve"> contains</w:t>
      </w:r>
      <w:r w:rsidR="00435872" w:rsidRPr="00435872">
        <w:rPr>
          <w:rFonts w:eastAsia="Arial"/>
          <w:sz w:val="24"/>
          <w:szCs w:val="24"/>
        </w:rPr>
        <w:t>: Ctrl, Labrasol</w:t>
      </w:r>
      <w:r w:rsidR="00435872">
        <w:rPr>
          <w:rFonts w:eastAsia="Arial"/>
          <w:sz w:val="24"/>
          <w:szCs w:val="24"/>
        </w:rPr>
        <w:t>®</w:t>
      </w:r>
      <w:r w:rsidR="00435872" w:rsidRPr="00435872">
        <w:rPr>
          <w:rFonts w:eastAsia="Arial"/>
          <w:sz w:val="24"/>
          <w:szCs w:val="24"/>
        </w:rPr>
        <w:t xml:space="preserve">, MCFA named in title, and </w:t>
      </w:r>
      <w:r w:rsidR="00435872">
        <w:rPr>
          <w:rFonts w:eastAsia="Arial"/>
          <w:sz w:val="24"/>
          <w:szCs w:val="24"/>
        </w:rPr>
        <w:t>the combination</w:t>
      </w:r>
      <w:r w:rsidR="000C4F50">
        <w:rPr>
          <w:rFonts w:eastAsia="Arial"/>
          <w:sz w:val="24"/>
          <w:szCs w:val="24"/>
        </w:rPr>
        <w:t>.</w:t>
      </w:r>
      <w:r w:rsidR="00841C5B">
        <w:rPr>
          <w:rFonts w:eastAsia="Arial"/>
          <w:sz w:val="24"/>
          <w:szCs w:val="24"/>
        </w:rPr>
        <w:t xml:space="preserve"> The x-axes are </w:t>
      </w:r>
      <w:r w:rsidR="003804DC">
        <w:rPr>
          <w:rFonts w:eastAsia="Arial"/>
          <w:sz w:val="24"/>
          <w:szCs w:val="24"/>
        </w:rPr>
        <w:t>“</w:t>
      </w:r>
      <w:r w:rsidR="00841C5B">
        <w:rPr>
          <w:rFonts w:eastAsia="Arial"/>
          <w:sz w:val="24"/>
          <w:szCs w:val="24"/>
        </w:rPr>
        <w:t>Time (min)</w:t>
      </w:r>
      <w:r w:rsidR="003804DC">
        <w:rPr>
          <w:rFonts w:eastAsia="Arial"/>
          <w:sz w:val="24"/>
          <w:szCs w:val="24"/>
        </w:rPr>
        <w:t>”</w:t>
      </w:r>
      <w:r w:rsidR="00841C5B">
        <w:rPr>
          <w:rFonts w:eastAsia="Arial"/>
          <w:sz w:val="24"/>
          <w:szCs w:val="24"/>
        </w:rPr>
        <w:t xml:space="preserve"> in each case.</w:t>
      </w:r>
    </w:p>
    <w:p w14:paraId="2AD03ED0" w14:textId="5D04EDCC" w:rsidR="00720511" w:rsidRDefault="00435872" w:rsidP="00E2407B">
      <w:pPr>
        <w:spacing w:after="0" w:line="360" w:lineRule="auto"/>
        <w:rPr>
          <w:rFonts w:eastAsia="Arial"/>
          <w:sz w:val="24"/>
          <w:szCs w:val="24"/>
        </w:rPr>
      </w:pPr>
      <w:r w:rsidRPr="00435872" w:rsidDel="00690A94">
        <w:rPr>
          <w:rFonts w:eastAsia="Arial"/>
          <w:sz w:val="24"/>
          <w:szCs w:val="24"/>
        </w:rPr>
        <w:t xml:space="preserve"> </w:t>
      </w:r>
    </w:p>
    <w:p w14:paraId="12067DB1" w14:textId="77777777" w:rsidR="00324379" w:rsidRPr="00324379" w:rsidRDefault="001F3150" w:rsidP="00E2407B">
      <w:pPr>
        <w:spacing w:after="0" w:line="360" w:lineRule="auto"/>
        <w:rPr>
          <w:rFonts w:eastAsia="Arial"/>
          <w:b/>
          <w:sz w:val="24"/>
          <w:szCs w:val="24"/>
        </w:rPr>
      </w:pPr>
      <w:r w:rsidRPr="007E40D5">
        <w:rPr>
          <w:rFonts w:eastAsia="Arial"/>
          <w:b/>
          <w:sz w:val="24"/>
        </w:rPr>
        <w:t>Fig. 2:</w:t>
      </w:r>
      <w:r w:rsidR="0047629D">
        <w:rPr>
          <w:rFonts w:eastAsia="Arial"/>
          <w:sz w:val="24"/>
          <w:szCs w:val="24"/>
        </w:rPr>
        <w:t xml:space="preserve"> </w:t>
      </w:r>
      <w:r w:rsidR="00324379" w:rsidRPr="00435872">
        <w:rPr>
          <w:sz w:val="24"/>
          <w:szCs w:val="24"/>
        </w:rPr>
        <w:t xml:space="preserve">Effect of combinations of Labrasol® and MCFAs on the Papp of FD4 across isolated rat colonic tissue </w:t>
      </w:r>
      <w:r w:rsidR="0047629D">
        <w:rPr>
          <w:sz w:val="24"/>
          <w:szCs w:val="24"/>
        </w:rPr>
        <w:t>mucosae. Each bar</w:t>
      </w:r>
      <w:r w:rsidR="00324379" w:rsidRPr="00435872">
        <w:rPr>
          <w:sz w:val="24"/>
          <w:szCs w:val="24"/>
        </w:rPr>
        <w:t xml:space="preserve"> represents the mean ± SEM of n = 3-9 replicates. *P&lt;0.05 **P&lt;0.01, ***P&lt;0.001</w:t>
      </w:r>
      <w:r w:rsidR="00324379">
        <w:rPr>
          <w:sz w:val="24"/>
          <w:szCs w:val="24"/>
        </w:rPr>
        <w:t xml:space="preserve"> compared to control. # </w:t>
      </w:r>
      <w:r w:rsidR="0047629D">
        <w:rPr>
          <w:sz w:val="24"/>
          <w:szCs w:val="24"/>
        </w:rPr>
        <w:t>P&lt;0.05, # #P&lt;0.01,  # # #</w:t>
      </w:r>
      <w:r w:rsidR="0047629D" w:rsidRPr="00324379">
        <w:rPr>
          <w:sz w:val="24"/>
          <w:szCs w:val="24"/>
        </w:rPr>
        <w:t>P&lt;0.001</w:t>
      </w:r>
      <w:r w:rsidR="0047629D">
        <w:rPr>
          <w:sz w:val="24"/>
          <w:szCs w:val="24"/>
        </w:rPr>
        <w:t xml:space="preserve"> compared to Labrasol</w:t>
      </w:r>
      <w:r w:rsidR="0047629D" w:rsidRPr="00E2407B">
        <w:rPr>
          <w:rFonts w:eastAsia="Arial"/>
          <w:sz w:val="24"/>
          <w:szCs w:val="24"/>
        </w:rPr>
        <w:t>®</w:t>
      </w:r>
      <w:r w:rsidR="0047629D">
        <w:rPr>
          <w:sz w:val="24"/>
          <w:szCs w:val="24"/>
        </w:rPr>
        <w:t xml:space="preserve"> and ●P&lt;0.05 ●●P&lt;0.01, ●●●</w:t>
      </w:r>
      <w:r w:rsidR="0047629D" w:rsidRPr="00324379">
        <w:rPr>
          <w:sz w:val="24"/>
          <w:szCs w:val="24"/>
        </w:rPr>
        <w:t>P&lt;0.001</w:t>
      </w:r>
      <w:r w:rsidR="0047629D">
        <w:rPr>
          <w:sz w:val="24"/>
          <w:szCs w:val="24"/>
        </w:rPr>
        <w:t xml:space="preserve"> compared to the </w:t>
      </w:r>
      <w:r w:rsidR="00435872">
        <w:rPr>
          <w:sz w:val="24"/>
          <w:szCs w:val="24"/>
        </w:rPr>
        <w:t xml:space="preserve">respective </w:t>
      </w:r>
      <w:r w:rsidR="0047629D">
        <w:rPr>
          <w:sz w:val="24"/>
          <w:szCs w:val="24"/>
        </w:rPr>
        <w:t>MCFA</w:t>
      </w:r>
      <w:r w:rsidR="00435872">
        <w:rPr>
          <w:sz w:val="24"/>
          <w:szCs w:val="24"/>
        </w:rPr>
        <w:t>.</w:t>
      </w:r>
    </w:p>
    <w:p w14:paraId="1E10B7C2" w14:textId="77777777" w:rsidR="00720511" w:rsidRPr="00E2407B" w:rsidRDefault="00720511" w:rsidP="00E2407B">
      <w:pPr>
        <w:spacing w:after="0" w:line="360" w:lineRule="auto"/>
        <w:rPr>
          <w:rFonts w:eastAsia="Arial" w:cs="Arial"/>
          <w:b/>
          <w:sz w:val="24"/>
          <w:szCs w:val="24"/>
        </w:rPr>
      </w:pPr>
    </w:p>
    <w:p w14:paraId="026659C2" w14:textId="67F4C5E3" w:rsidR="00720511" w:rsidRPr="00E2407B" w:rsidRDefault="00942B2B" w:rsidP="00E2407B">
      <w:pPr>
        <w:spacing w:after="0" w:line="360" w:lineRule="auto"/>
        <w:rPr>
          <w:rFonts w:eastAsia="Arial" w:cs="Arial"/>
          <w:b/>
          <w:sz w:val="24"/>
          <w:szCs w:val="24"/>
        </w:rPr>
      </w:pPr>
      <w:r w:rsidRPr="00E2407B">
        <w:rPr>
          <w:rFonts w:eastAsia="Arial" w:cs="Arial"/>
          <w:b/>
          <w:sz w:val="24"/>
          <w:szCs w:val="24"/>
        </w:rPr>
        <w:t xml:space="preserve">Fig. </w:t>
      </w:r>
      <w:r w:rsidR="0047629D">
        <w:rPr>
          <w:rFonts w:eastAsia="Arial" w:cs="Arial"/>
          <w:b/>
          <w:sz w:val="24"/>
          <w:szCs w:val="24"/>
        </w:rPr>
        <w:t>3</w:t>
      </w:r>
      <w:r w:rsidRPr="00E2407B">
        <w:rPr>
          <w:rFonts w:eastAsia="Arial" w:cs="Arial"/>
          <w:sz w:val="24"/>
          <w:szCs w:val="24"/>
        </w:rPr>
        <w:t>: Effect of Labrasol® and MCFA on ΔI</w:t>
      </w:r>
      <w:r w:rsidRPr="00E2407B">
        <w:rPr>
          <w:rFonts w:eastAsia="Arial" w:cs="Arial"/>
          <w:sz w:val="24"/>
          <w:szCs w:val="24"/>
          <w:vertAlign w:val="subscript"/>
        </w:rPr>
        <w:t>SC</w:t>
      </w:r>
      <w:r w:rsidRPr="00E2407B">
        <w:rPr>
          <w:rFonts w:eastAsia="Arial" w:cs="Arial"/>
          <w:sz w:val="24"/>
          <w:szCs w:val="24"/>
        </w:rPr>
        <w:t xml:space="preserve"> response to CCh in isolated rat colonic mucosae. Each value represents the mean ± SEM of n = 3-6. Panel</w:t>
      </w:r>
      <w:r w:rsidR="008009E9">
        <w:rPr>
          <w:rFonts w:eastAsia="Arial" w:cs="Arial"/>
          <w:sz w:val="24"/>
          <w:szCs w:val="24"/>
        </w:rPr>
        <w:t>s</w:t>
      </w:r>
      <w:r w:rsidRPr="00E2407B">
        <w:rPr>
          <w:rFonts w:eastAsia="Arial" w:cs="Arial"/>
          <w:sz w:val="24"/>
          <w:szCs w:val="24"/>
        </w:rPr>
        <w:t xml:space="preserve"> shows Labrasol® (1 mg/ mL) with and without </w:t>
      </w:r>
      <w:r w:rsidR="008009E9">
        <w:rPr>
          <w:rFonts w:eastAsia="Arial" w:cs="Arial"/>
          <w:sz w:val="24"/>
          <w:szCs w:val="24"/>
        </w:rPr>
        <w:t xml:space="preserve">named </w:t>
      </w:r>
      <w:r w:rsidR="00504423" w:rsidRPr="00504423">
        <w:rPr>
          <w:rFonts w:eastAsia="Arial" w:cs="Arial"/>
          <w:sz w:val="24"/>
          <w:szCs w:val="24"/>
        </w:rPr>
        <w:t>MCFA</w:t>
      </w:r>
      <w:r w:rsidR="008009E9">
        <w:rPr>
          <w:rFonts w:eastAsia="Arial" w:cs="Arial"/>
          <w:sz w:val="24"/>
          <w:szCs w:val="24"/>
        </w:rPr>
        <w:t xml:space="preserve"> at specific concentrations</w:t>
      </w:r>
      <w:r w:rsidR="00504423" w:rsidRPr="00504423">
        <w:rPr>
          <w:rFonts w:eastAsia="Arial" w:cs="Arial"/>
          <w:sz w:val="24"/>
          <w:szCs w:val="24"/>
        </w:rPr>
        <w:t xml:space="preserve">. Symbols: × Control, ○ Labrasol® (1 mg/mL), ■ </w:t>
      </w:r>
      <w:r w:rsidR="005C539D">
        <w:rPr>
          <w:rFonts w:eastAsia="Arial" w:cs="Arial"/>
          <w:sz w:val="24"/>
          <w:szCs w:val="24"/>
        </w:rPr>
        <w:t>the designated</w:t>
      </w:r>
      <w:r w:rsidR="008009E9">
        <w:rPr>
          <w:rFonts w:eastAsia="Arial" w:cs="Arial"/>
          <w:sz w:val="24"/>
          <w:szCs w:val="24"/>
        </w:rPr>
        <w:t xml:space="preserve"> </w:t>
      </w:r>
      <w:r w:rsidR="00504423" w:rsidRPr="00504423">
        <w:rPr>
          <w:rFonts w:eastAsia="Arial" w:cs="Arial"/>
          <w:sz w:val="24"/>
          <w:szCs w:val="24"/>
        </w:rPr>
        <w:t>MCFA, ∆ Labrasol® +</w:t>
      </w:r>
      <w:r w:rsidR="008009E9">
        <w:rPr>
          <w:rFonts w:eastAsia="Arial" w:cs="Arial"/>
          <w:sz w:val="24"/>
          <w:szCs w:val="24"/>
        </w:rPr>
        <w:t xml:space="preserve"> respective </w:t>
      </w:r>
      <w:r w:rsidR="00504423" w:rsidRPr="00504423">
        <w:rPr>
          <w:rFonts w:eastAsia="Arial" w:cs="Arial"/>
          <w:sz w:val="24"/>
          <w:szCs w:val="24"/>
        </w:rPr>
        <w:t>MCFA.</w:t>
      </w:r>
      <w:r w:rsidR="00841C5B">
        <w:rPr>
          <w:rFonts w:eastAsia="Arial" w:cs="Arial"/>
          <w:sz w:val="24"/>
          <w:szCs w:val="24"/>
        </w:rPr>
        <w:t xml:space="preserve"> The x-axes are </w:t>
      </w:r>
      <w:r w:rsidR="003804DC">
        <w:rPr>
          <w:rFonts w:eastAsia="Arial" w:cs="Arial"/>
          <w:sz w:val="24"/>
          <w:szCs w:val="24"/>
        </w:rPr>
        <w:t>“</w:t>
      </w:r>
      <w:r w:rsidR="00841C5B">
        <w:rPr>
          <w:rFonts w:eastAsia="Arial" w:cs="Arial"/>
          <w:sz w:val="24"/>
          <w:szCs w:val="24"/>
        </w:rPr>
        <w:t>log [CCh]</w:t>
      </w:r>
      <w:r w:rsidR="003804DC">
        <w:rPr>
          <w:rFonts w:eastAsia="Arial" w:cs="Arial"/>
          <w:sz w:val="24"/>
          <w:szCs w:val="24"/>
        </w:rPr>
        <w:t>”</w:t>
      </w:r>
      <w:r w:rsidR="00841C5B">
        <w:rPr>
          <w:rFonts w:eastAsia="Arial" w:cs="Arial"/>
          <w:sz w:val="24"/>
          <w:szCs w:val="24"/>
        </w:rPr>
        <w:t xml:space="preserve"> in each case.</w:t>
      </w:r>
    </w:p>
    <w:p w14:paraId="2B8E1782" w14:textId="77777777" w:rsidR="00720511" w:rsidRPr="00E2407B" w:rsidRDefault="00720511" w:rsidP="00E2407B">
      <w:pPr>
        <w:spacing w:after="0" w:line="360" w:lineRule="auto"/>
        <w:rPr>
          <w:rFonts w:eastAsia="Arial" w:cs="Arial"/>
          <w:b/>
          <w:sz w:val="24"/>
          <w:szCs w:val="24"/>
        </w:rPr>
      </w:pPr>
    </w:p>
    <w:p w14:paraId="05289A45" w14:textId="2A97E9EC" w:rsidR="00841C5B" w:rsidRDefault="00942B2B" w:rsidP="00E2407B">
      <w:pPr>
        <w:spacing w:after="0" w:line="360" w:lineRule="auto"/>
        <w:rPr>
          <w:rFonts w:eastAsia="Arial" w:cs="Arial"/>
          <w:sz w:val="24"/>
          <w:szCs w:val="24"/>
        </w:rPr>
      </w:pPr>
      <w:r w:rsidRPr="00E2407B">
        <w:rPr>
          <w:rFonts w:eastAsia="Arial" w:cs="Arial"/>
          <w:b/>
          <w:sz w:val="24"/>
          <w:szCs w:val="24"/>
        </w:rPr>
        <w:t xml:space="preserve">Fig. </w:t>
      </w:r>
      <w:r w:rsidR="0047629D">
        <w:rPr>
          <w:rFonts w:eastAsia="Arial" w:cs="Arial"/>
          <w:b/>
          <w:sz w:val="24"/>
          <w:szCs w:val="24"/>
        </w:rPr>
        <w:t>4</w:t>
      </w:r>
      <w:r w:rsidRPr="00E2407B">
        <w:rPr>
          <w:rFonts w:eastAsia="Arial" w:cs="Arial"/>
          <w:b/>
          <w:sz w:val="24"/>
          <w:szCs w:val="24"/>
        </w:rPr>
        <w:t>:</w:t>
      </w:r>
      <w:r w:rsidRPr="00E2407B">
        <w:rPr>
          <w:rFonts w:eastAsia="Arial" w:cs="Arial"/>
          <w:sz w:val="24"/>
          <w:szCs w:val="24"/>
        </w:rPr>
        <w:t xml:space="preserve"> Representative histology images for isolated rat colonic mucosae</w:t>
      </w:r>
      <w:r w:rsidR="00CA1A3C">
        <w:rPr>
          <w:rFonts w:eastAsia="Arial" w:cs="Arial"/>
          <w:sz w:val="24"/>
          <w:szCs w:val="24"/>
        </w:rPr>
        <w:t xml:space="preserve"> exposed to </w:t>
      </w:r>
      <w:r w:rsidR="00CA1A3C" w:rsidRPr="00E2407B">
        <w:rPr>
          <w:rFonts w:eastAsia="Arial" w:cs="Arial"/>
          <w:sz w:val="24"/>
          <w:szCs w:val="24"/>
        </w:rPr>
        <w:t>combinations of</w:t>
      </w:r>
      <w:r w:rsidR="00CA1A3C">
        <w:rPr>
          <w:rFonts w:eastAsia="Arial" w:cs="Arial"/>
          <w:sz w:val="24"/>
          <w:szCs w:val="24"/>
        </w:rPr>
        <w:t xml:space="preserve"> Labrasol® (1 mg/mL) and MCFA over 120 min</w:t>
      </w:r>
      <w:r w:rsidRPr="00E2407B">
        <w:rPr>
          <w:rFonts w:eastAsia="Arial" w:cs="Arial"/>
          <w:sz w:val="24"/>
          <w:szCs w:val="24"/>
        </w:rPr>
        <w:t xml:space="preserve">. </w:t>
      </w:r>
      <w:r w:rsidR="00B0218D">
        <w:rPr>
          <w:rFonts w:eastAsia="Arial" w:cs="Arial"/>
          <w:sz w:val="24"/>
          <w:szCs w:val="24"/>
        </w:rPr>
        <w:t>For clarity, the panels are divided (i)-(iv) in order to show the controls (i) and to separate each MCFA (ii)  C</w:t>
      </w:r>
      <w:r w:rsidR="00B0218D" w:rsidRPr="00B0218D">
        <w:rPr>
          <w:rFonts w:eastAsia="Arial" w:cs="Arial"/>
          <w:sz w:val="24"/>
          <w:szCs w:val="24"/>
          <w:vertAlign w:val="subscript"/>
        </w:rPr>
        <w:t>10</w:t>
      </w:r>
      <w:r w:rsidR="00B0218D">
        <w:rPr>
          <w:rFonts w:eastAsia="Arial" w:cs="Arial"/>
          <w:sz w:val="24"/>
          <w:szCs w:val="24"/>
        </w:rPr>
        <w:t>, (iii)  uC</w:t>
      </w:r>
      <w:r w:rsidR="00B0218D" w:rsidRPr="00B0218D">
        <w:rPr>
          <w:rFonts w:eastAsia="Arial" w:cs="Arial"/>
          <w:sz w:val="24"/>
          <w:szCs w:val="24"/>
          <w:vertAlign w:val="subscript"/>
        </w:rPr>
        <w:t>11</w:t>
      </w:r>
      <w:r w:rsidR="00B0218D">
        <w:rPr>
          <w:rFonts w:eastAsia="Arial" w:cs="Arial"/>
          <w:sz w:val="24"/>
          <w:szCs w:val="24"/>
        </w:rPr>
        <w:t>, (iv) C</w:t>
      </w:r>
      <w:r w:rsidR="00B0218D" w:rsidRPr="00B0218D">
        <w:rPr>
          <w:rFonts w:eastAsia="Arial" w:cs="Arial"/>
          <w:sz w:val="24"/>
          <w:szCs w:val="24"/>
          <w:vertAlign w:val="subscript"/>
        </w:rPr>
        <w:t>12</w:t>
      </w:r>
      <w:r w:rsidR="00B0218D">
        <w:rPr>
          <w:rFonts w:eastAsia="Arial" w:cs="Arial"/>
          <w:sz w:val="24"/>
          <w:szCs w:val="24"/>
        </w:rPr>
        <w:t>.</w:t>
      </w:r>
      <w:r w:rsidR="00CA1A3C">
        <w:rPr>
          <w:rFonts w:eastAsia="Arial" w:cs="Arial"/>
          <w:sz w:val="24"/>
          <w:szCs w:val="24"/>
        </w:rPr>
        <w:t xml:space="preserve">The Labrasol® concentration was fixed at 1 mg/mL </w:t>
      </w:r>
      <w:r w:rsidR="00B0218D">
        <w:rPr>
          <w:rFonts w:eastAsia="Arial" w:cs="Arial"/>
          <w:sz w:val="24"/>
          <w:szCs w:val="24"/>
        </w:rPr>
        <w:t xml:space="preserve">alone and </w:t>
      </w:r>
      <w:r w:rsidR="00CA1A3C">
        <w:rPr>
          <w:rFonts w:eastAsia="Arial" w:cs="Arial"/>
          <w:sz w:val="24"/>
          <w:szCs w:val="24"/>
        </w:rPr>
        <w:t>in each c</w:t>
      </w:r>
      <w:r w:rsidR="00B0218D">
        <w:rPr>
          <w:rFonts w:eastAsia="Arial" w:cs="Arial"/>
          <w:sz w:val="24"/>
          <w:szCs w:val="24"/>
        </w:rPr>
        <w:t>ombination</w:t>
      </w:r>
      <w:r w:rsidR="00CA1A3C">
        <w:rPr>
          <w:rFonts w:eastAsia="Arial" w:cs="Arial"/>
          <w:sz w:val="24"/>
          <w:szCs w:val="24"/>
        </w:rPr>
        <w:t xml:space="preserve"> and is th</w:t>
      </w:r>
      <w:r w:rsidR="007C115C">
        <w:rPr>
          <w:rFonts w:eastAsia="Arial" w:cs="Arial"/>
          <w:sz w:val="24"/>
          <w:szCs w:val="24"/>
        </w:rPr>
        <w:t>erefore not stated on the panels</w:t>
      </w:r>
      <w:r w:rsidR="00CA1A3C">
        <w:rPr>
          <w:rFonts w:eastAsia="Arial" w:cs="Arial"/>
          <w:sz w:val="24"/>
          <w:szCs w:val="24"/>
        </w:rPr>
        <w:t xml:space="preserve">, while MCFA concentrations ranged from 0.2- 1 mg/mL.  Horizontal bar = 100 </w:t>
      </w:r>
      <w:r w:rsidR="00CA1A3C">
        <w:rPr>
          <w:rFonts w:eastAsia="Arial"/>
          <w:sz w:val="24"/>
          <w:szCs w:val="24"/>
        </w:rPr>
        <w:t>µ</w:t>
      </w:r>
      <w:r w:rsidR="00B0218D">
        <w:rPr>
          <w:rFonts w:eastAsia="Arial" w:cs="Arial"/>
          <w:sz w:val="24"/>
          <w:szCs w:val="24"/>
        </w:rPr>
        <w:t>m throughout</w:t>
      </w:r>
      <w:r w:rsidR="000C4F50">
        <w:rPr>
          <w:rFonts w:eastAsia="Arial" w:cs="Arial"/>
          <w:sz w:val="24"/>
          <w:szCs w:val="24"/>
        </w:rPr>
        <w:t>.</w:t>
      </w:r>
      <w:r w:rsidR="00CA1A3C">
        <w:rPr>
          <w:rFonts w:eastAsia="Arial" w:cs="Arial"/>
          <w:sz w:val="24"/>
          <w:szCs w:val="24"/>
        </w:rPr>
        <w:t xml:space="preserve"> </w:t>
      </w:r>
    </w:p>
    <w:p w14:paraId="01B2EA7D" w14:textId="77777777" w:rsidR="009833EC" w:rsidRDefault="009833EC" w:rsidP="00E2407B">
      <w:pPr>
        <w:spacing w:after="0" w:line="360" w:lineRule="auto"/>
        <w:rPr>
          <w:rFonts w:eastAsia="Arial" w:cs="Arial"/>
          <w:sz w:val="24"/>
          <w:szCs w:val="24"/>
        </w:rPr>
      </w:pPr>
    </w:p>
    <w:p w14:paraId="47DA7156" w14:textId="77777777" w:rsidR="009833EC" w:rsidRDefault="009833EC" w:rsidP="00E2407B">
      <w:pPr>
        <w:spacing w:after="0" w:line="360" w:lineRule="auto"/>
        <w:rPr>
          <w:rFonts w:eastAsia="Arial" w:cs="Arial"/>
          <w:sz w:val="24"/>
          <w:szCs w:val="24"/>
        </w:rPr>
      </w:pPr>
    </w:p>
    <w:p w14:paraId="223AC55D" w14:textId="77777777" w:rsidR="009833EC" w:rsidRDefault="009833EC" w:rsidP="00E2407B">
      <w:pPr>
        <w:spacing w:after="0" w:line="360" w:lineRule="auto"/>
        <w:rPr>
          <w:rFonts w:eastAsia="Arial" w:cs="Arial"/>
          <w:sz w:val="24"/>
          <w:szCs w:val="24"/>
        </w:rPr>
      </w:pPr>
    </w:p>
    <w:p w14:paraId="3EE9411B" w14:textId="77777777" w:rsidR="008E4EA5" w:rsidRDefault="008E4EA5" w:rsidP="00E2407B">
      <w:pPr>
        <w:spacing w:after="0" w:line="360" w:lineRule="auto"/>
        <w:rPr>
          <w:rFonts w:eastAsia="Arial" w:cs="Arial"/>
          <w:sz w:val="24"/>
          <w:szCs w:val="24"/>
        </w:rPr>
      </w:pPr>
    </w:p>
    <w:p w14:paraId="43B25874" w14:textId="77777777" w:rsidR="009833EC" w:rsidRDefault="009833EC" w:rsidP="00E2407B">
      <w:pPr>
        <w:spacing w:after="0" w:line="360" w:lineRule="auto"/>
        <w:rPr>
          <w:rFonts w:eastAsia="Arial" w:cs="Arial"/>
          <w:sz w:val="24"/>
          <w:szCs w:val="24"/>
        </w:rPr>
      </w:pPr>
    </w:p>
    <w:p w14:paraId="2BF8218D" w14:textId="6E1157E5" w:rsidR="00720511" w:rsidRPr="00E2407B" w:rsidRDefault="00720511" w:rsidP="00E2407B">
      <w:pPr>
        <w:spacing w:after="0" w:line="360" w:lineRule="auto"/>
        <w:rPr>
          <w:rFonts w:eastAsia="Arial" w:cs="Arial"/>
          <w:sz w:val="24"/>
          <w:szCs w:val="24"/>
        </w:rPr>
      </w:pPr>
    </w:p>
    <w:p w14:paraId="0931C6D9" w14:textId="77777777" w:rsidR="00720511" w:rsidRPr="00E2407B" w:rsidRDefault="00942B2B" w:rsidP="00E2407B">
      <w:pPr>
        <w:pStyle w:val="Heading6"/>
        <w:spacing w:after="200" w:line="360" w:lineRule="auto"/>
        <w:rPr>
          <w:rFonts w:ascii="Times New Roman" w:hAnsi="Times New Roman"/>
        </w:rPr>
      </w:pPr>
      <w:bookmarkStart w:id="4" w:name="gjdgxs" w:colFirst="0" w:colLast="0"/>
      <w:bookmarkEnd w:id="4"/>
      <w:r w:rsidRPr="00E2407B">
        <w:rPr>
          <w:rFonts w:ascii="Times New Roman" w:hAnsi="Times New Roman"/>
        </w:rPr>
        <w:lastRenderedPageBreak/>
        <w:t>References</w:t>
      </w:r>
    </w:p>
    <w:p w14:paraId="55A61D64" w14:textId="77777777" w:rsidR="00720511" w:rsidRPr="00E2407B" w:rsidRDefault="00942B2B" w:rsidP="00E2407B">
      <w:pPr>
        <w:spacing w:after="0" w:line="360" w:lineRule="auto"/>
        <w:ind w:left="720" w:hanging="720"/>
        <w:rPr>
          <w:rFonts w:eastAsia="Arial" w:cs="Arial"/>
          <w:sz w:val="24"/>
          <w:szCs w:val="24"/>
        </w:rPr>
      </w:pPr>
      <w:bookmarkStart w:id="5" w:name="_30j0zll" w:colFirst="0" w:colLast="0"/>
      <w:bookmarkEnd w:id="5"/>
      <w:r w:rsidRPr="00E2407B">
        <w:rPr>
          <w:rFonts w:eastAsia="Arial" w:cs="Arial"/>
          <w:sz w:val="24"/>
          <w:szCs w:val="24"/>
        </w:rPr>
        <w:t>1.</w:t>
      </w:r>
      <w:r w:rsidRPr="00E2407B">
        <w:rPr>
          <w:rFonts w:eastAsia="Arial" w:cs="Arial"/>
          <w:sz w:val="24"/>
          <w:szCs w:val="24"/>
        </w:rPr>
        <w:tab/>
        <w:t>Fosgerau K. and Hoffmann T. Peptide therapeutics: current status and future directions. Drug Discov Today 2015; 20(1): 122-128.</w:t>
      </w:r>
    </w:p>
    <w:p w14:paraId="60C265C2" w14:textId="77777777" w:rsidR="00720511" w:rsidRPr="00E2407B" w:rsidRDefault="00942B2B" w:rsidP="00E2407B">
      <w:pPr>
        <w:spacing w:after="0" w:line="360" w:lineRule="auto"/>
        <w:ind w:left="720" w:hanging="720"/>
        <w:rPr>
          <w:rFonts w:eastAsia="Arial" w:cs="Arial"/>
          <w:sz w:val="24"/>
          <w:szCs w:val="24"/>
        </w:rPr>
      </w:pPr>
      <w:bookmarkStart w:id="6" w:name="_1fob9te" w:colFirst="0" w:colLast="0"/>
      <w:bookmarkEnd w:id="6"/>
      <w:r w:rsidRPr="00E2407B">
        <w:rPr>
          <w:rFonts w:eastAsia="Arial" w:cs="Arial"/>
          <w:sz w:val="24"/>
          <w:szCs w:val="24"/>
        </w:rPr>
        <w:t>2.</w:t>
      </w:r>
      <w:r w:rsidRPr="00E2407B">
        <w:rPr>
          <w:rFonts w:eastAsia="Arial" w:cs="Arial"/>
          <w:sz w:val="24"/>
          <w:szCs w:val="24"/>
        </w:rPr>
        <w:tab/>
        <w:t>Aungst BJ. Absorption enhancers: applications and advances. AAPS J 2012; 14(1): 10-18.</w:t>
      </w:r>
    </w:p>
    <w:p w14:paraId="0EFD6B04" w14:textId="1034ADDD" w:rsidR="000C4F50" w:rsidRPr="00E2407B" w:rsidRDefault="00942B2B" w:rsidP="00305A92">
      <w:pPr>
        <w:spacing w:after="0" w:line="360" w:lineRule="auto"/>
        <w:ind w:left="720" w:hanging="720"/>
        <w:rPr>
          <w:rFonts w:eastAsia="Arial" w:cs="Arial"/>
          <w:sz w:val="24"/>
          <w:szCs w:val="24"/>
        </w:rPr>
      </w:pPr>
      <w:bookmarkStart w:id="7" w:name="_3znysh7" w:colFirst="0" w:colLast="0"/>
      <w:bookmarkEnd w:id="7"/>
      <w:r w:rsidRPr="00E2407B">
        <w:rPr>
          <w:rFonts w:eastAsia="Arial" w:cs="Arial"/>
          <w:sz w:val="24"/>
          <w:szCs w:val="24"/>
        </w:rPr>
        <w:t>3.</w:t>
      </w:r>
      <w:r w:rsidRPr="00E2407B">
        <w:rPr>
          <w:rFonts w:eastAsia="Arial" w:cs="Arial"/>
          <w:sz w:val="24"/>
          <w:szCs w:val="24"/>
        </w:rPr>
        <w:tab/>
        <w:t>Cilek, A., Celebi N, Tirnaksiz F, Tay A. A lecithin-based microemulsion of rh-insulin with aprotinin for oral administration: Investigation of hypoglycemic effects in non-diabetic and STZ-induced diabetic rats. Int J Pharm, 2005; 298(1): 176-185.</w:t>
      </w:r>
    </w:p>
    <w:p w14:paraId="2AFF4149" w14:textId="46EC26B5" w:rsidR="00720511" w:rsidRPr="00E2407B" w:rsidRDefault="00942B2B" w:rsidP="00E2407B">
      <w:pPr>
        <w:spacing w:after="0" w:line="360" w:lineRule="auto"/>
        <w:ind w:left="720" w:hanging="720"/>
        <w:rPr>
          <w:rFonts w:eastAsia="Arial" w:cs="Arial"/>
          <w:sz w:val="24"/>
          <w:szCs w:val="24"/>
        </w:rPr>
      </w:pPr>
      <w:bookmarkStart w:id="8" w:name="_2et92p0" w:colFirst="0" w:colLast="0"/>
      <w:bookmarkEnd w:id="8"/>
      <w:r w:rsidRPr="00E2407B">
        <w:rPr>
          <w:rFonts w:eastAsia="Arial" w:cs="Arial"/>
          <w:sz w:val="24"/>
          <w:szCs w:val="24"/>
        </w:rPr>
        <w:t>4.</w:t>
      </w:r>
      <w:r w:rsidRPr="00E2407B">
        <w:rPr>
          <w:rFonts w:eastAsia="Arial" w:cs="Arial"/>
          <w:sz w:val="24"/>
          <w:szCs w:val="24"/>
        </w:rPr>
        <w:tab/>
        <w:t>Wang T,</w:t>
      </w:r>
      <w:r w:rsidRPr="00E2407B">
        <w:rPr>
          <w:sz w:val="24"/>
        </w:rPr>
        <w:t xml:space="preserve"> </w:t>
      </w:r>
      <w:r w:rsidRPr="00E2407B">
        <w:rPr>
          <w:rFonts w:eastAsia="Arial" w:cs="Arial"/>
          <w:sz w:val="24"/>
          <w:szCs w:val="24"/>
        </w:rPr>
        <w:t>Wang N, Hao A, He X, Li T, Deng Y. Lyophilization of water-in-oil emulsions to prepare phospholipid-based anhydrous reverse micelles for oral peptide delivery. Eur J Pharm Sci, 2010; 39(5): 373-379.</w:t>
      </w:r>
    </w:p>
    <w:p w14:paraId="1D785647" w14:textId="6C95B60F" w:rsidR="00720511" w:rsidRPr="00E2407B" w:rsidRDefault="00942B2B" w:rsidP="00E2407B">
      <w:pPr>
        <w:spacing w:after="0" w:line="360" w:lineRule="auto"/>
        <w:ind w:left="720" w:hanging="720"/>
        <w:rPr>
          <w:rFonts w:eastAsia="Arial" w:cs="Arial"/>
          <w:sz w:val="24"/>
          <w:szCs w:val="24"/>
        </w:rPr>
      </w:pPr>
      <w:bookmarkStart w:id="9" w:name="_tyjcwt" w:colFirst="0" w:colLast="0"/>
      <w:bookmarkEnd w:id="9"/>
      <w:r w:rsidRPr="00E2407B">
        <w:rPr>
          <w:rFonts w:eastAsia="Arial" w:cs="Arial"/>
          <w:sz w:val="24"/>
          <w:szCs w:val="24"/>
        </w:rPr>
        <w:t>5.</w:t>
      </w:r>
      <w:r w:rsidRPr="00E2407B">
        <w:rPr>
          <w:rFonts w:eastAsia="Arial" w:cs="Arial"/>
          <w:sz w:val="24"/>
          <w:szCs w:val="24"/>
        </w:rPr>
        <w:tab/>
        <w:t>Tuvia S,</w:t>
      </w:r>
      <w:r w:rsidRPr="00E2407B">
        <w:rPr>
          <w:sz w:val="24"/>
        </w:rPr>
        <w:t xml:space="preserve"> </w:t>
      </w:r>
      <w:r w:rsidRPr="00E2407B">
        <w:rPr>
          <w:rFonts w:eastAsia="Arial" w:cs="Arial"/>
          <w:sz w:val="24"/>
          <w:szCs w:val="24"/>
        </w:rPr>
        <w:t>Pelled D, Marom K, Salama P, Levin-Arama M, Karmeli I, Idelson GH, Landau I, Mamluk R. A novel suspension formulation enhances intestinal absorption of macromolecules via transient and reversible transport mechanisms. Pharm Res 2014; 31(8): 2010-2021.</w:t>
      </w:r>
    </w:p>
    <w:p w14:paraId="2C92A395" w14:textId="46764227" w:rsidR="00720511" w:rsidRPr="00E2407B" w:rsidRDefault="00942B2B" w:rsidP="00E2407B">
      <w:pPr>
        <w:spacing w:after="0" w:line="360" w:lineRule="auto"/>
        <w:ind w:left="720" w:hanging="720"/>
        <w:rPr>
          <w:rFonts w:eastAsia="Arial" w:cs="Arial"/>
          <w:sz w:val="24"/>
          <w:szCs w:val="24"/>
        </w:rPr>
      </w:pPr>
      <w:bookmarkStart w:id="10" w:name="_3dy6vkm" w:colFirst="0" w:colLast="0"/>
      <w:bookmarkEnd w:id="10"/>
      <w:r w:rsidRPr="00E2407B">
        <w:rPr>
          <w:rFonts w:eastAsia="Arial" w:cs="Arial"/>
          <w:sz w:val="24"/>
          <w:szCs w:val="24"/>
        </w:rPr>
        <w:t>6.</w:t>
      </w:r>
      <w:r w:rsidRPr="00E2407B">
        <w:rPr>
          <w:rFonts w:eastAsia="Arial" w:cs="Arial"/>
          <w:sz w:val="24"/>
          <w:szCs w:val="24"/>
        </w:rPr>
        <w:tab/>
        <w:t>Sarmento B, Martins S, Ferreira D, Souto EB. Oral insulin delivery by means of solid lipid nanoparticles. Int J Nanomedicine 2007; 2(4): 743-749.</w:t>
      </w:r>
    </w:p>
    <w:p w14:paraId="109A510A" w14:textId="77777777" w:rsidR="00720511" w:rsidRPr="00E2407B" w:rsidRDefault="00942B2B" w:rsidP="00E2407B">
      <w:pPr>
        <w:spacing w:after="0" w:line="360" w:lineRule="auto"/>
        <w:ind w:left="720" w:hanging="720"/>
        <w:rPr>
          <w:rFonts w:eastAsia="Arial" w:cs="Arial"/>
          <w:sz w:val="24"/>
          <w:szCs w:val="24"/>
        </w:rPr>
      </w:pPr>
      <w:bookmarkStart w:id="11" w:name="_1t3h5sf" w:colFirst="0" w:colLast="0"/>
      <w:bookmarkEnd w:id="11"/>
      <w:r w:rsidRPr="00E2407B">
        <w:rPr>
          <w:rFonts w:eastAsia="Arial" w:cs="Arial"/>
          <w:sz w:val="24"/>
          <w:szCs w:val="24"/>
        </w:rPr>
        <w:t>7.</w:t>
      </w:r>
      <w:r w:rsidRPr="00E2407B">
        <w:rPr>
          <w:rFonts w:eastAsia="Arial" w:cs="Arial"/>
          <w:sz w:val="24"/>
          <w:szCs w:val="24"/>
        </w:rPr>
        <w:tab/>
        <w:t>Shichiri M, Shimizu Y, Yoshida Y, Kawamori R, Fukuchi M, Shigeta Y, Abe H. Enteral absorption of water-in-oil-in-water insulin emulsions in rabbits. Diabetologia 1974; 10(4): 317-321.</w:t>
      </w:r>
    </w:p>
    <w:p w14:paraId="0B23B22B" w14:textId="77777777" w:rsidR="00720511" w:rsidRPr="00E2407B" w:rsidRDefault="00942B2B" w:rsidP="00E2407B">
      <w:pPr>
        <w:spacing w:after="0" w:line="360" w:lineRule="auto"/>
        <w:ind w:left="720" w:hanging="720"/>
        <w:rPr>
          <w:rFonts w:eastAsia="Arial" w:cs="Arial"/>
          <w:sz w:val="24"/>
          <w:szCs w:val="24"/>
        </w:rPr>
      </w:pPr>
      <w:bookmarkStart w:id="12" w:name="_4d34og8" w:colFirst="0" w:colLast="0"/>
      <w:bookmarkEnd w:id="12"/>
      <w:r w:rsidRPr="00E2407B">
        <w:rPr>
          <w:rFonts w:eastAsia="Arial" w:cs="Arial"/>
          <w:sz w:val="24"/>
          <w:szCs w:val="24"/>
        </w:rPr>
        <w:t>8.</w:t>
      </w:r>
      <w:r w:rsidRPr="00E2407B">
        <w:rPr>
          <w:rFonts w:eastAsia="Arial" w:cs="Arial"/>
          <w:sz w:val="24"/>
          <w:szCs w:val="24"/>
        </w:rPr>
        <w:tab/>
        <w:t>Feeney OM, Crum MF, McEvoy CL, Trevaskis NL, Williams HD, Pouton CW, Charman WN, Bergström CAS, Porter CJH. 50 years of oral lipid-based formulations: provenance, progress and future perspectives. Adv. Drug Deliv. Rev 2016; 101: 167-194.</w:t>
      </w:r>
    </w:p>
    <w:p w14:paraId="7376E4AC" w14:textId="77777777" w:rsidR="00720511" w:rsidRPr="00E2407B" w:rsidRDefault="00942B2B" w:rsidP="00E2407B">
      <w:pPr>
        <w:spacing w:after="0" w:line="360" w:lineRule="auto"/>
        <w:ind w:left="720" w:hanging="720"/>
        <w:rPr>
          <w:rFonts w:eastAsia="Arial" w:cs="Arial"/>
          <w:sz w:val="24"/>
          <w:szCs w:val="24"/>
        </w:rPr>
      </w:pPr>
      <w:bookmarkStart w:id="13" w:name="_2s8eyo1" w:colFirst="0" w:colLast="0"/>
      <w:bookmarkEnd w:id="13"/>
      <w:r w:rsidRPr="00E2407B">
        <w:rPr>
          <w:rFonts w:eastAsia="Arial" w:cs="Arial"/>
          <w:sz w:val="24"/>
          <w:szCs w:val="24"/>
        </w:rPr>
        <w:t>9.</w:t>
      </w:r>
      <w:r w:rsidRPr="00E2407B">
        <w:rPr>
          <w:rFonts w:eastAsia="Arial" w:cs="Arial"/>
          <w:sz w:val="24"/>
          <w:szCs w:val="24"/>
        </w:rPr>
        <w:tab/>
        <w:t>Porter CJ, Trevaskis NL, Charman WN. Lipids and lipid-based formulations: optimizing the oral delivery of lipophilic drugs. Nat Rev Drug Discov 2007; 6(3): 231-248.</w:t>
      </w:r>
    </w:p>
    <w:p w14:paraId="332F9E82" w14:textId="77777777" w:rsidR="00720511" w:rsidRPr="00E2407B" w:rsidRDefault="00942B2B" w:rsidP="00E2407B">
      <w:pPr>
        <w:spacing w:after="0" w:line="360" w:lineRule="auto"/>
        <w:ind w:left="720" w:hanging="720"/>
        <w:rPr>
          <w:rFonts w:eastAsia="Arial" w:cs="Arial"/>
          <w:sz w:val="24"/>
          <w:szCs w:val="24"/>
        </w:rPr>
      </w:pPr>
      <w:bookmarkStart w:id="14" w:name="_17dp8vu" w:colFirst="0" w:colLast="0"/>
      <w:bookmarkEnd w:id="14"/>
      <w:r w:rsidRPr="00E2407B">
        <w:rPr>
          <w:rFonts w:eastAsia="Arial" w:cs="Arial"/>
          <w:sz w:val="24"/>
          <w:szCs w:val="24"/>
        </w:rPr>
        <w:t>10.</w:t>
      </w:r>
      <w:r w:rsidRPr="00E2407B">
        <w:rPr>
          <w:rFonts w:eastAsia="Arial" w:cs="Arial"/>
          <w:sz w:val="24"/>
          <w:szCs w:val="24"/>
        </w:rPr>
        <w:tab/>
        <w:t>Williams HD, Trevaskis NL, Charman SA, Shanker RM, Charman WN, Pouton CW, Porter CJ. Strategies to address low drug solubility in discovery and development. Pharmacol Rev 2013; 65(1): 315-499.</w:t>
      </w:r>
    </w:p>
    <w:p w14:paraId="44E0BD2A" w14:textId="77777777" w:rsidR="00720511" w:rsidRPr="00E2407B" w:rsidRDefault="00942B2B" w:rsidP="00E2407B">
      <w:pPr>
        <w:spacing w:after="0" w:line="360" w:lineRule="auto"/>
        <w:ind w:left="720" w:hanging="720"/>
        <w:rPr>
          <w:rFonts w:eastAsia="Arial" w:cs="Arial"/>
          <w:sz w:val="24"/>
          <w:szCs w:val="24"/>
        </w:rPr>
      </w:pPr>
      <w:bookmarkStart w:id="15" w:name="_3rdcrjn" w:colFirst="0" w:colLast="0"/>
      <w:bookmarkEnd w:id="15"/>
      <w:r w:rsidRPr="00E2407B">
        <w:rPr>
          <w:rFonts w:eastAsia="Arial" w:cs="Arial"/>
          <w:sz w:val="24"/>
          <w:szCs w:val="24"/>
        </w:rPr>
        <w:t>11.</w:t>
      </w:r>
      <w:r w:rsidRPr="00E2407B">
        <w:rPr>
          <w:rFonts w:eastAsia="Arial" w:cs="Arial"/>
          <w:sz w:val="24"/>
          <w:szCs w:val="24"/>
        </w:rPr>
        <w:tab/>
        <w:t xml:space="preserve">Robert GS. Currently marketed oral lipid-based dosage forms: drug products and excipients.  Haus DJ , ed.  In: </w:t>
      </w:r>
      <w:r w:rsidRPr="00E2407B">
        <w:rPr>
          <w:rFonts w:eastAsia="Arial" w:cs="Arial"/>
          <w:i/>
          <w:sz w:val="24"/>
          <w:szCs w:val="24"/>
        </w:rPr>
        <w:t>Oral Lipid-Based Formulations</w:t>
      </w:r>
      <w:r w:rsidRPr="00E2407B">
        <w:rPr>
          <w:sz w:val="24"/>
        </w:rPr>
        <w:t>-</w:t>
      </w:r>
      <w:r w:rsidRPr="00E2407B">
        <w:rPr>
          <w:rFonts w:eastAsia="Arial" w:cs="Arial"/>
          <w:i/>
          <w:sz w:val="24"/>
          <w:szCs w:val="24"/>
        </w:rPr>
        <w:t xml:space="preserve">Enhancing the </w:t>
      </w:r>
      <w:r w:rsidRPr="00E2407B">
        <w:rPr>
          <w:rFonts w:eastAsia="Arial" w:cs="Arial"/>
          <w:i/>
          <w:sz w:val="24"/>
          <w:szCs w:val="24"/>
        </w:rPr>
        <w:lastRenderedPageBreak/>
        <w:t>Bioavailability of Poorly Water-Soluble Drugs</w:t>
      </w:r>
      <w:r w:rsidRPr="00E2407B">
        <w:rPr>
          <w:rFonts w:eastAsia="Arial" w:cs="Arial"/>
          <w:sz w:val="24"/>
          <w:szCs w:val="24"/>
        </w:rPr>
        <w:t>. Drugs and the Pharmaceutical Science, Vol. 170, CRC Press, New York, 2007: 1-31.</w:t>
      </w:r>
    </w:p>
    <w:p w14:paraId="7CC5C939" w14:textId="77777777" w:rsidR="00720511" w:rsidRPr="00E2407B" w:rsidRDefault="00942B2B" w:rsidP="00E2407B">
      <w:pPr>
        <w:spacing w:after="0" w:line="360" w:lineRule="auto"/>
        <w:ind w:left="720" w:hanging="720"/>
        <w:rPr>
          <w:rFonts w:eastAsia="Arial" w:cs="Arial"/>
          <w:sz w:val="24"/>
          <w:szCs w:val="24"/>
        </w:rPr>
      </w:pPr>
      <w:bookmarkStart w:id="16" w:name="_26in1rg" w:colFirst="0" w:colLast="0"/>
      <w:bookmarkEnd w:id="16"/>
      <w:r w:rsidRPr="00E2407B">
        <w:rPr>
          <w:rFonts w:eastAsia="Arial" w:cs="Arial"/>
          <w:sz w:val="24"/>
          <w:szCs w:val="24"/>
        </w:rPr>
        <w:t>12.</w:t>
      </w:r>
      <w:r w:rsidRPr="00E2407B">
        <w:rPr>
          <w:rFonts w:eastAsia="Arial" w:cs="Arial"/>
          <w:sz w:val="24"/>
          <w:szCs w:val="24"/>
        </w:rPr>
        <w:tab/>
        <w:t>Strickley R.G. Solubilizing excipients in oral and injectable formulations. Pharm Res 2004; 21(2): 201-230.</w:t>
      </w:r>
    </w:p>
    <w:p w14:paraId="4AC58F29" w14:textId="77777777" w:rsidR="00720511" w:rsidRPr="00E2407B" w:rsidRDefault="00942B2B" w:rsidP="00E2407B">
      <w:pPr>
        <w:spacing w:after="0" w:line="360" w:lineRule="auto"/>
        <w:ind w:left="720" w:hanging="720"/>
        <w:rPr>
          <w:rFonts w:eastAsia="Arial" w:cs="Arial"/>
          <w:sz w:val="24"/>
          <w:szCs w:val="24"/>
        </w:rPr>
      </w:pPr>
      <w:bookmarkStart w:id="17" w:name="_lnxbz9" w:colFirst="0" w:colLast="0"/>
      <w:bookmarkEnd w:id="17"/>
      <w:r w:rsidRPr="00E2407B">
        <w:rPr>
          <w:rFonts w:eastAsia="Arial" w:cs="Arial"/>
          <w:sz w:val="24"/>
          <w:szCs w:val="24"/>
        </w:rPr>
        <w:t>13.</w:t>
      </w:r>
      <w:r w:rsidRPr="00E2407B">
        <w:rPr>
          <w:rFonts w:eastAsia="Arial" w:cs="Arial"/>
          <w:sz w:val="24"/>
          <w:szCs w:val="24"/>
        </w:rPr>
        <w:tab/>
        <w:t>Zupančič O. and Bernkop-Schnürch A.  Lipophilic peptide character – what oral barriers fear the most. J. Controlled Release 2017; 255: 242-257.</w:t>
      </w:r>
    </w:p>
    <w:p w14:paraId="1811F0B0" w14:textId="77777777" w:rsidR="00720511" w:rsidRPr="00E2407B" w:rsidRDefault="00942B2B" w:rsidP="00E2407B">
      <w:pPr>
        <w:spacing w:after="0" w:line="360" w:lineRule="auto"/>
        <w:ind w:left="720" w:hanging="720"/>
        <w:rPr>
          <w:rFonts w:eastAsia="Arial" w:cs="Arial"/>
          <w:sz w:val="24"/>
          <w:szCs w:val="24"/>
        </w:rPr>
      </w:pPr>
      <w:bookmarkStart w:id="18" w:name="_35nkun2" w:colFirst="0" w:colLast="0"/>
      <w:bookmarkEnd w:id="18"/>
      <w:r w:rsidRPr="00E2407B">
        <w:rPr>
          <w:rFonts w:eastAsia="Arial" w:cs="Arial"/>
          <w:sz w:val="24"/>
          <w:szCs w:val="24"/>
        </w:rPr>
        <w:t>14.</w:t>
      </w:r>
      <w:r w:rsidRPr="00E2407B">
        <w:rPr>
          <w:rFonts w:eastAsia="Arial" w:cs="Arial"/>
          <w:sz w:val="24"/>
          <w:szCs w:val="24"/>
        </w:rPr>
        <w:tab/>
        <w:t>Maher S, Ryan B, Duffy A, Brayden DJ.</w:t>
      </w:r>
      <w:r w:rsidR="003F0C9F">
        <w:rPr>
          <w:rFonts w:eastAsia="Arial" w:cs="Arial"/>
          <w:sz w:val="24"/>
          <w:szCs w:val="24"/>
        </w:rPr>
        <w:t xml:space="preserve"> </w:t>
      </w:r>
      <w:r w:rsidRPr="00E2407B">
        <w:rPr>
          <w:rFonts w:eastAsia="Arial" w:cs="Arial"/>
          <w:sz w:val="24"/>
          <w:szCs w:val="24"/>
        </w:rPr>
        <w:t>Formulation strategies to improve oral peptide delivery. Pharm Pat Anal 2014; 3(3):313-336.</w:t>
      </w:r>
    </w:p>
    <w:p w14:paraId="034B4CC9" w14:textId="77777777" w:rsidR="00720511" w:rsidRDefault="00942B2B" w:rsidP="00E2407B">
      <w:pPr>
        <w:spacing w:after="0" w:line="360" w:lineRule="auto"/>
        <w:ind w:left="720" w:hanging="720"/>
        <w:rPr>
          <w:rFonts w:eastAsia="Arial" w:cs="Arial"/>
          <w:sz w:val="24"/>
          <w:szCs w:val="24"/>
        </w:rPr>
      </w:pPr>
      <w:bookmarkStart w:id="19" w:name="_1ksv4uv" w:colFirst="0" w:colLast="0"/>
      <w:bookmarkEnd w:id="19"/>
      <w:r w:rsidRPr="00E2407B">
        <w:rPr>
          <w:rFonts w:eastAsia="Arial" w:cs="Arial"/>
          <w:sz w:val="24"/>
          <w:szCs w:val="24"/>
        </w:rPr>
        <w:t>15.</w:t>
      </w:r>
      <w:r w:rsidRPr="00E2407B">
        <w:rPr>
          <w:rFonts w:eastAsia="Arial" w:cs="Arial"/>
          <w:sz w:val="24"/>
          <w:szCs w:val="24"/>
        </w:rPr>
        <w:tab/>
        <w:t>Melmed S, Popovic V, Bidlingmaier M et al. Safety and efficacy of oral octreotide in acromegaly: results of a multicenter Phase III trial. J Clin Endocrinol Metab 2015; 100(4): 1699-1708.</w:t>
      </w:r>
    </w:p>
    <w:p w14:paraId="7ACD5B03" w14:textId="77777777" w:rsidR="003F0C9F" w:rsidRPr="00E2407B" w:rsidRDefault="003F0C9F" w:rsidP="003F0C9F">
      <w:pPr>
        <w:spacing w:after="0" w:line="360" w:lineRule="auto"/>
        <w:ind w:left="720" w:hanging="720"/>
        <w:rPr>
          <w:rFonts w:eastAsia="Arial" w:cs="Arial"/>
          <w:sz w:val="24"/>
          <w:szCs w:val="24"/>
        </w:rPr>
      </w:pPr>
      <w:r>
        <w:rPr>
          <w:rFonts w:eastAsia="Arial" w:cs="Arial"/>
          <w:sz w:val="24"/>
          <w:szCs w:val="24"/>
        </w:rPr>
        <w:t xml:space="preserve">16. </w:t>
      </w:r>
      <w:r>
        <w:rPr>
          <w:rFonts w:eastAsia="Arial" w:cs="Arial"/>
          <w:sz w:val="24"/>
          <w:szCs w:val="24"/>
        </w:rPr>
        <w:tab/>
      </w:r>
      <w:r w:rsidRPr="003F0C9F">
        <w:rPr>
          <w:rFonts w:eastAsia="Arial" w:cs="Arial"/>
          <w:sz w:val="24"/>
          <w:szCs w:val="24"/>
        </w:rPr>
        <w:t>Pouton CW.</w:t>
      </w:r>
      <w:r>
        <w:rPr>
          <w:rFonts w:eastAsia="Arial" w:cs="Arial"/>
          <w:sz w:val="24"/>
          <w:szCs w:val="24"/>
        </w:rPr>
        <w:t xml:space="preserve"> </w:t>
      </w:r>
      <w:r w:rsidRPr="003F0C9F">
        <w:rPr>
          <w:rFonts w:eastAsia="Arial" w:cs="Arial"/>
          <w:sz w:val="24"/>
          <w:szCs w:val="24"/>
        </w:rPr>
        <w:t>Formulation of poorly water-soluble drugs for oral administration: physicochemical and physiological issues and the lipid for</w:t>
      </w:r>
      <w:r>
        <w:rPr>
          <w:rFonts w:eastAsia="Arial" w:cs="Arial"/>
          <w:sz w:val="24"/>
          <w:szCs w:val="24"/>
        </w:rPr>
        <w:t xml:space="preserve">mulation classification system.  </w:t>
      </w:r>
      <w:r w:rsidRPr="003F0C9F">
        <w:rPr>
          <w:rFonts w:eastAsia="Arial" w:cs="Arial"/>
          <w:sz w:val="24"/>
          <w:szCs w:val="24"/>
        </w:rPr>
        <w:t>Eur J Pharm Sci. 2006</w:t>
      </w:r>
      <w:r>
        <w:rPr>
          <w:rFonts w:eastAsia="Arial" w:cs="Arial"/>
          <w:sz w:val="24"/>
          <w:szCs w:val="24"/>
        </w:rPr>
        <w:t xml:space="preserve">; </w:t>
      </w:r>
      <w:r w:rsidRPr="003F0C9F">
        <w:rPr>
          <w:rFonts w:eastAsia="Arial" w:cs="Arial"/>
          <w:sz w:val="24"/>
          <w:szCs w:val="24"/>
        </w:rPr>
        <w:t>29</w:t>
      </w:r>
      <w:r>
        <w:rPr>
          <w:rFonts w:eastAsia="Arial" w:cs="Arial"/>
          <w:sz w:val="24"/>
          <w:szCs w:val="24"/>
        </w:rPr>
        <w:t xml:space="preserve"> </w:t>
      </w:r>
      <w:r w:rsidRPr="003F0C9F">
        <w:rPr>
          <w:rFonts w:eastAsia="Arial" w:cs="Arial"/>
          <w:sz w:val="24"/>
          <w:szCs w:val="24"/>
        </w:rPr>
        <w:t>(3-4):278-</w:t>
      </w:r>
      <w:r>
        <w:rPr>
          <w:rFonts w:eastAsia="Arial" w:cs="Arial"/>
          <w:sz w:val="24"/>
          <w:szCs w:val="24"/>
        </w:rPr>
        <w:t>2</w:t>
      </w:r>
      <w:r w:rsidRPr="003F0C9F">
        <w:rPr>
          <w:rFonts w:eastAsia="Arial" w:cs="Arial"/>
          <w:sz w:val="24"/>
          <w:szCs w:val="24"/>
        </w:rPr>
        <w:t>87.</w:t>
      </w:r>
    </w:p>
    <w:p w14:paraId="57F19D18" w14:textId="77777777" w:rsidR="00720511" w:rsidRPr="00E2407B" w:rsidRDefault="00942B2B" w:rsidP="00E2407B">
      <w:pPr>
        <w:spacing w:after="0" w:line="360" w:lineRule="auto"/>
        <w:ind w:left="720" w:hanging="720"/>
        <w:rPr>
          <w:rFonts w:eastAsia="Arial" w:cs="Arial"/>
          <w:sz w:val="24"/>
          <w:szCs w:val="24"/>
        </w:rPr>
      </w:pPr>
      <w:bookmarkStart w:id="20" w:name="_44sinio" w:colFirst="0" w:colLast="0"/>
      <w:bookmarkStart w:id="21" w:name="_2jxsxqh" w:colFirst="0" w:colLast="0"/>
      <w:bookmarkEnd w:id="20"/>
      <w:bookmarkEnd w:id="21"/>
      <w:r w:rsidRPr="00E2407B">
        <w:rPr>
          <w:rFonts w:eastAsia="Arial" w:cs="Arial"/>
          <w:sz w:val="24"/>
          <w:szCs w:val="24"/>
        </w:rPr>
        <w:t>17.</w:t>
      </w:r>
      <w:r w:rsidRPr="00E2407B">
        <w:rPr>
          <w:rFonts w:eastAsia="Arial" w:cs="Arial"/>
          <w:sz w:val="24"/>
          <w:szCs w:val="24"/>
        </w:rPr>
        <w:tab/>
        <w:t>Maher, S., R.J. Mrsny, and D.J. Brayden, Intestinal permeation enhancers for oral peptide delivery. Adv Drug Deliv Rev, 2016. 106(Pt B): p. 277-319.</w:t>
      </w:r>
    </w:p>
    <w:p w14:paraId="723D47C4" w14:textId="6A2CCD48" w:rsidR="00720511" w:rsidRPr="00E2407B" w:rsidRDefault="00942B2B" w:rsidP="00E2407B">
      <w:pPr>
        <w:spacing w:after="0" w:line="360" w:lineRule="auto"/>
        <w:ind w:left="720" w:hanging="720"/>
        <w:rPr>
          <w:rFonts w:eastAsia="Arial" w:cs="Arial"/>
          <w:sz w:val="24"/>
          <w:szCs w:val="24"/>
        </w:rPr>
      </w:pPr>
      <w:bookmarkStart w:id="22" w:name="_z337ya" w:colFirst="0" w:colLast="0"/>
      <w:bookmarkStart w:id="23" w:name="_3j2qqm3" w:colFirst="0" w:colLast="0"/>
      <w:bookmarkEnd w:id="22"/>
      <w:bookmarkEnd w:id="23"/>
      <w:r w:rsidRPr="00E2407B">
        <w:rPr>
          <w:rFonts w:eastAsia="Arial" w:cs="Arial"/>
          <w:sz w:val="24"/>
          <w:szCs w:val="24"/>
        </w:rPr>
        <w:t>1</w:t>
      </w:r>
      <w:r w:rsidR="003F021F">
        <w:rPr>
          <w:rFonts w:eastAsia="Arial" w:cs="Arial"/>
          <w:sz w:val="24"/>
          <w:szCs w:val="24"/>
        </w:rPr>
        <w:t>8</w:t>
      </w:r>
      <w:r w:rsidRPr="00E2407B">
        <w:rPr>
          <w:rFonts w:eastAsia="Arial" w:cs="Arial"/>
          <w:sz w:val="24"/>
          <w:szCs w:val="24"/>
        </w:rPr>
        <w:t>.</w:t>
      </w:r>
      <w:r w:rsidRPr="00E2407B">
        <w:rPr>
          <w:rFonts w:eastAsia="Arial" w:cs="Arial"/>
          <w:sz w:val="24"/>
          <w:szCs w:val="24"/>
        </w:rPr>
        <w:tab/>
        <w:t xml:space="preserve">Strickley R and Oliyai R. Chapter 9, Solubilizing Vehicles for Oral Formulation Development. In: Augustijns P, Brewster, M. </w:t>
      </w:r>
      <w:r w:rsidR="00ED211B">
        <w:rPr>
          <w:rFonts w:eastAsia="Arial" w:cs="Arial"/>
          <w:sz w:val="24"/>
          <w:szCs w:val="24"/>
        </w:rPr>
        <w:t>E</w:t>
      </w:r>
      <w:r w:rsidRPr="00E2407B">
        <w:rPr>
          <w:rFonts w:eastAsia="Arial" w:cs="Arial"/>
          <w:sz w:val="24"/>
          <w:szCs w:val="24"/>
        </w:rPr>
        <w:t xml:space="preserve">d, </w:t>
      </w:r>
      <w:r w:rsidRPr="00E2407B">
        <w:rPr>
          <w:rFonts w:eastAsia="Arial" w:cs="Arial"/>
          <w:i/>
          <w:sz w:val="24"/>
          <w:szCs w:val="24"/>
        </w:rPr>
        <w:t>Solvent Systems and Their Selection in Pharmaceutics and Biopharmaceutics</w:t>
      </w:r>
      <w:r w:rsidRPr="00E2407B">
        <w:rPr>
          <w:rFonts w:eastAsia="Arial" w:cs="Arial"/>
          <w:sz w:val="24"/>
          <w:szCs w:val="24"/>
        </w:rPr>
        <w:t>. 2007: Springer, New York.</w:t>
      </w:r>
    </w:p>
    <w:p w14:paraId="33F70F6F" w14:textId="53CC387E" w:rsidR="00720511" w:rsidRPr="00E2407B" w:rsidRDefault="003F021F" w:rsidP="00E2407B">
      <w:pPr>
        <w:spacing w:after="0" w:line="360" w:lineRule="auto"/>
        <w:ind w:left="720" w:hanging="720"/>
        <w:rPr>
          <w:rFonts w:eastAsia="Arial" w:cs="Arial"/>
          <w:sz w:val="24"/>
          <w:szCs w:val="24"/>
        </w:rPr>
      </w:pPr>
      <w:r>
        <w:rPr>
          <w:rFonts w:eastAsia="Arial" w:cs="Arial"/>
          <w:sz w:val="24"/>
          <w:szCs w:val="24"/>
        </w:rPr>
        <w:t>19</w:t>
      </w:r>
      <w:r w:rsidR="00942B2B" w:rsidRPr="00E2407B">
        <w:rPr>
          <w:rFonts w:eastAsia="Arial" w:cs="Arial"/>
          <w:sz w:val="24"/>
          <w:szCs w:val="24"/>
        </w:rPr>
        <w:tab/>
        <w:t xml:space="preserve">Ohtsu Y, Gibbons JA, Suzuki K, Fitzsimmons ME, Nozawa K, Arai H, Absorption, distribution, metabolism, and excretion of the androgen receptor inhibitor enzalutamide in rats and dogs.  Eur. J. Drug Metab Pharmacokinet 2017; 42(4):611-626. </w:t>
      </w:r>
    </w:p>
    <w:p w14:paraId="2817D816" w14:textId="5CA024D8" w:rsidR="00720511" w:rsidRPr="00E2407B" w:rsidRDefault="00942B2B" w:rsidP="00E2407B">
      <w:pPr>
        <w:spacing w:after="0" w:line="360" w:lineRule="auto"/>
        <w:ind w:left="720" w:hanging="720"/>
        <w:rPr>
          <w:rFonts w:eastAsia="Arial" w:cs="Arial"/>
          <w:sz w:val="24"/>
          <w:szCs w:val="24"/>
        </w:rPr>
      </w:pPr>
      <w:r w:rsidRPr="00E2407B">
        <w:rPr>
          <w:rFonts w:eastAsia="Arial" w:cs="Arial"/>
          <w:sz w:val="24"/>
          <w:szCs w:val="24"/>
        </w:rPr>
        <w:t>2</w:t>
      </w:r>
      <w:r w:rsidR="003F021F">
        <w:rPr>
          <w:rFonts w:eastAsia="Arial" w:cs="Arial"/>
          <w:sz w:val="24"/>
          <w:szCs w:val="24"/>
        </w:rPr>
        <w:t>0</w:t>
      </w:r>
      <w:r w:rsidRPr="00E2407B">
        <w:rPr>
          <w:rFonts w:eastAsia="Arial" w:cs="Arial"/>
          <w:sz w:val="24"/>
          <w:szCs w:val="24"/>
        </w:rPr>
        <w:t>.</w:t>
      </w:r>
      <w:r w:rsidRPr="00E2407B">
        <w:rPr>
          <w:rFonts w:eastAsia="Arial" w:cs="Arial"/>
          <w:sz w:val="24"/>
          <w:szCs w:val="24"/>
        </w:rPr>
        <w:tab/>
        <w:t>Eaimtrakarn S, Rama Prasad YV, Ohno T, Konishi T, Yoshikawa Y, Shibata N, Takada K. Absorption enhancing effect of labrasol on the intestinal absorption of insulin in rats. J Drug Target 2002; 10(3): 255-260.</w:t>
      </w:r>
    </w:p>
    <w:p w14:paraId="35C997C3" w14:textId="06B261F7" w:rsidR="00720511" w:rsidRPr="00E2407B" w:rsidRDefault="00942B2B" w:rsidP="00E2407B">
      <w:pPr>
        <w:spacing w:after="0" w:line="360" w:lineRule="auto"/>
        <w:ind w:left="720" w:hanging="720"/>
        <w:rPr>
          <w:rFonts w:eastAsia="Arial" w:cs="Arial"/>
          <w:sz w:val="24"/>
          <w:szCs w:val="24"/>
        </w:rPr>
      </w:pPr>
      <w:bookmarkStart w:id="24" w:name="_1y810tw" w:colFirst="0" w:colLast="0"/>
      <w:bookmarkEnd w:id="24"/>
      <w:r w:rsidRPr="00E2407B">
        <w:rPr>
          <w:rFonts w:eastAsia="Arial" w:cs="Arial"/>
          <w:sz w:val="24"/>
          <w:szCs w:val="24"/>
        </w:rPr>
        <w:t>2</w:t>
      </w:r>
      <w:r w:rsidR="003F021F">
        <w:rPr>
          <w:rFonts w:eastAsia="Arial" w:cs="Arial"/>
          <w:sz w:val="24"/>
          <w:szCs w:val="24"/>
        </w:rPr>
        <w:t>1</w:t>
      </w:r>
      <w:r w:rsidRPr="00E2407B">
        <w:rPr>
          <w:rFonts w:eastAsia="Arial" w:cs="Arial"/>
          <w:sz w:val="24"/>
          <w:szCs w:val="24"/>
        </w:rPr>
        <w:t>.</w:t>
      </w:r>
      <w:r w:rsidRPr="00E2407B">
        <w:rPr>
          <w:rFonts w:eastAsia="Arial" w:cs="Arial"/>
          <w:sz w:val="24"/>
          <w:szCs w:val="24"/>
        </w:rPr>
        <w:tab/>
        <w:t>Venkatesan N, Uchino K, Amagase K, Ito Y, Shibata N, Takada K. Gastro-intestinal patch system for the delivery of erythropoietin. J Control Release 2006; 111(1-2): 19-26.</w:t>
      </w:r>
    </w:p>
    <w:p w14:paraId="11CFF087" w14:textId="0464FF00" w:rsidR="00720511" w:rsidRPr="00E2407B" w:rsidRDefault="00942B2B" w:rsidP="00E2407B">
      <w:pPr>
        <w:spacing w:after="0" w:line="360" w:lineRule="auto"/>
        <w:ind w:left="720" w:hanging="720"/>
        <w:rPr>
          <w:rFonts w:eastAsia="Arial" w:cs="Arial"/>
          <w:sz w:val="24"/>
          <w:szCs w:val="24"/>
        </w:rPr>
      </w:pPr>
      <w:bookmarkStart w:id="25" w:name="_4i7ojhp" w:colFirst="0" w:colLast="0"/>
      <w:bookmarkEnd w:id="25"/>
      <w:r w:rsidRPr="00E2407B">
        <w:rPr>
          <w:rFonts w:eastAsia="Arial" w:cs="Arial"/>
          <w:sz w:val="24"/>
          <w:szCs w:val="24"/>
        </w:rPr>
        <w:t>2</w:t>
      </w:r>
      <w:r w:rsidR="003F021F">
        <w:rPr>
          <w:rFonts w:eastAsia="Arial" w:cs="Arial"/>
          <w:sz w:val="24"/>
          <w:szCs w:val="24"/>
        </w:rPr>
        <w:t>2</w:t>
      </w:r>
      <w:r w:rsidRPr="00E2407B">
        <w:rPr>
          <w:rFonts w:eastAsia="Arial" w:cs="Arial"/>
          <w:sz w:val="24"/>
          <w:szCs w:val="24"/>
        </w:rPr>
        <w:t>.</w:t>
      </w:r>
      <w:r w:rsidRPr="00E2407B">
        <w:rPr>
          <w:rFonts w:eastAsia="Arial" w:cs="Arial"/>
          <w:sz w:val="24"/>
          <w:szCs w:val="24"/>
        </w:rPr>
        <w:tab/>
        <w:t>Hamid KA, Katsumi H, Sakane T, Yamamoto A. The effects of common solubilizing agents on the intestinal membrane barrier functions and membrane toxicity in rats. Int J Pharm 2009; 379(1): 100-108.</w:t>
      </w:r>
    </w:p>
    <w:p w14:paraId="714B38F7" w14:textId="3197544E" w:rsidR="00720511" w:rsidRPr="00E2407B" w:rsidRDefault="00942B2B" w:rsidP="00E2407B">
      <w:pPr>
        <w:spacing w:after="0" w:line="360" w:lineRule="auto"/>
        <w:ind w:left="720" w:hanging="720"/>
        <w:rPr>
          <w:rFonts w:eastAsia="Arial" w:cs="Arial"/>
          <w:sz w:val="24"/>
          <w:szCs w:val="24"/>
        </w:rPr>
      </w:pPr>
      <w:bookmarkStart w:id="26" w:name="_2xcytpi" w:colFirst="0" w:colLast="0"/>
      <w:bookmarkEnd w:id="26"/>
      <w:r w:rsidRPr="00E2407B">
        <w:rPr>
          <w:rFonts w:eastAsia="Arial" w:cs="Arial"/>
          <w:sz w:val="24"/>
          <w:szCs w:val="24"/>
        </w:rPr>
        <w:t>2</w:t>
      </w:r>
      <w:r w:rsidR="003F021F">
        <w:rPr>
          <w:rFonts w:eastAsia="Arial" w:cs="Arial"/>
          <w:sz w:val="24"/>
          <w:szCs w:val="24"/>
        </w:rPr>
        <w:t>3</w:t>
      </w:r>
      <w:r w:rsidRPr="00E2407B">
        <w:rPr>
          <w:rFonts w:eastAsia="Arial" w:cs="Arial"/>
          <w:sz w:val="24"/>
          <w:szCs w:val="24"/>
        </w:rPr>
        <w:t>.</w:t>
      </w:r>
      <w:r w:rsidRPr="00E2407B">
        <w:rPr>
          <w:rFonts w:eastAsia="Arial" w:cs="Arial"/>
          <w:sz w:val="24"/>
          <w:szCs w:val="24"/>
        </w:rPr>
        <w:tab/>
        <w:t xml:space="preserve">Walsh EG, Adamczyk BE, Chalasani KB, Maher S, O'Toole EB, Fox JS, Leonard TW, Brayden DJ. Oral delivery of macromolecules: rationale underpinning </w:t>
      </w:r>
      <w:r w:rsidRPr="00E2407B">
        <w:rPr>
          <w:rFonts w:eastAsia="Arial" w:cs="Arial"/>
          <w:sz w:val="24"/>
          <w:szCs w:val="24"/>
        </w:rPr>
        <w:lastRenderedPageBreak/>
        <w:t>Gastrointestinal Permeation Enhancement Technology (GIPET). Ther Deliv 2011; 2(12): 1595-1610.</w:t>
      </w:r>
    </w:p>
    <w:p w14:paraId="6DD55855" w14:textId="1589FBBF" w:rsidR="00720511" w:rsidRPr="00E2407B" w:rsidRDefault="00942B2B" w:rsidP="00E2407B">
      <w:pPr>
        <w:spacing w:after="0" w:line="360" w:lineRule="auto"/>
        <w:ind w:left="720" w:hanging="720"/>
        <w:rPr>
          <w:rFonts w:eastAsia="Arial" w:cs="Arial"/>
          <w:sz w:val="24"/>
          <w:szCs w:val="24"/>
        </w:rPr>
      </w:pPr>
      <w:bookmarkStart w:id="27" w:name="_1ci93xb" w:colFirst="0" w:colLast="0"/>
      <w:bookmarkEnd w:id="27"/>
      <w:r w:rsidRPr="00E2407B">
        <w:rPr>
          <w:rFonts w:eastAsia="Arial" w:cs="Arial"/>
          <w:sz w:val="24"/>
          <w:szCs w:val="24"/>
        </w:rPr>
        <w:t>2</w:t>
      </w:r>
      <w:r w:rsidR="003F021F">
        <w:rPr>
          <w:rFonts w:eastAsia="Arial" w:cs="Arial"/>
          <w:sz w:val="24"/>
          <w:szCs w:val="24"/>
        </w:rPr>
        <w:t>4</w:t>
      </w:r>
      <w:r w:rsidRPr="00E2407B">
        <w:rPr>
          <w:rFonts w:eastAsia="Arial" w:cs="Arial"/>
          <w:sz w:val="24"/>
          <w:szCs w:val="24"/>
        </w:rPr>
        <w:t>.</w:t>
      </w:r>
      <w:r w:rsidRPr="00E2407B">
        <w:rPr>
          <w:rFonts w:eastAsia="Arial" w:cs="Arial"/>
          <w:sz w:val="24"/>
          <w:szCs w:val="24"/>
        </w:rPr>
        <w:tab/>
        <w:t>Davies M, Pieber TR, Hartoft-Nielsen ML, Hansen OKH, Jabbour S, Rosenstock J. Effect of oral semaglutide compared with placebo and subcutaneous semaglutide on glycemic control in patients with Type 2 diabetes: a randomized clinical trial. JAMA  2017; 318(15):1460-1470.</w:t>
      </w:r>
    </w:p>
    <w:p w14:paraId="2CAAB7C8" w14:textId="698B85D5" w:rsidR="00720511" w:rsidRDefault="00942B2B" w:rsidP="00E2407B">
      <w:pPr>
        <w:spacing w:after="0" w:line="360" w:lineRule="auto"/>
        <w:ind w:left="720" w:hanging="720"/>
        <w:rPr>
          <w:rFonts w:eastAsia="Arial" w:cs="Arial"/>
          <w:sz w:val="24"/>
          <w:szCs w:val="24"/>
        </w:rPr>
      </w:pPr>
      <w:r w:rsidRPr="00E2407B">
        <w:rPr>
          <w:rFonts w:eastAsia="Arial" w:cs="Arial"/>
          <w:sz w:val="24"/>
          <w:szCs w:val="24"/>
        </w:rPr>
        <w:t>2</w:t>
      </w:r>
      <w:r w:rsidR="003F021F">
        <w:rPr>
          <w:rFonts w:eastAsia="Arial" w:cs="Arial"/>
          <w:sz w:val="24"/>
          <w:szCs w:val="24"/>
        </w:rPr>
        <w:t>5</w:t>
      </w:r>
      <w:r w:rsidRPr="00E2407B">
        <w:rPr>
          <w:rFonts w:eastAsia="Arial" w:cs="Arial"/>
          <w:sz w:val="24"/>
          <w:szCs w:val="24"/>
        </w:rPr>
        <w:t>.</w:t>
      </w:r>
      <w:r w:rsidRPr="00E2407B">
        <w:rPr>
          <w:rFonts w:eastAsia="Arial" w:cs="Arial"/>
          <w:sz w:val="24"/>
          <w:szCs w:val="24"/>
        </w:rPr>
        <w:tab/>
        <w:t>Maher S, Medani M, Carballeira NN, Winter DC, Baird AW, Brayden DJ. Development of a non-aqueous dispersion to improve intestinal epithelial flux of poorly permeable macromolecules. AAPS J 2017; 19(1): 244-253.</w:t>
      </w:r>
    </w:p>
    <w:p w14:paraId="2C5933B9" w14:textId="77777777" w:rsidR="005E6E2B" w:rsidRPr="005E6E2B" w:rsidRDefault="005E6E2B" w:rsidP="005E6E2B">
      <w:pPr>
        <w:spacing w:after="0" w:line="360" w:lineRule="auto"/>
        <w:ind w:left="720" w:hanging="720"/>
        <w:rPr>
          <w:rFonts w:eastAsia="Arial" w:cs="Arial"/>
          <w:sz w:val="24"/>
          <w:szCs w:val="24"/>
        </w:rPr>
      </w:pPr>
      <w:r>
        <w:rPr>
          <w:rFonts w:eastAsia="Arial" w:cs="Arial"/>
          <w:sz w:val="24"/>
          <w:szCs w:val="24"/>
        </w:rPr>
        <w:t>26</w:t>
      </w:r>
      <w:r w:rsidRPr="005E6E2B">
        <w:rPr>
          <w:rFonts w:eastAsia="Arial" w:cs="Arial"/>
          <w:sz w:val="24"/>
          <w:szCs w:val="24"/>
        </w:rPr>
        <w:t>.</w:t>
      </w:r>
      <w:r w:rsidRPr="005E6E2B">
        <w:rPr>
          <w:rFonts w:eastAsia="Arial" w:cs="Arial"/>
          <w:sz w:val="24"/>
          <w:szCs w:val="24"/>
        </w:rPr>
        <w:tab/>
      </w:r>
      <w:hyperlink r:id="rId7" w:anchor="!">
        <w:r w:rsidR="001F3150" w:rsidRPr="008E4EA5">
          <w:rPr>
            <w:rStyle w:val="Hyperlink"/>
            <w:rFonts w:eastAsia="Arial"/>
            <w:color w:val="auto"/>
            <w:sz w:val="24"/>
            <w:u w:val="none"/>
          </w:rPr>
          <w:t>Muranishi</w:t>
        </w:r>
      </w:hyperlink>
      <w:r w:rsidR="001F3150" w:rsidRPr="008E4EA5">
        <w:rPr>
          <w:rFonts w:eastAsia="Arial"/>
          <w:color w:val="auto"/>
          <w:sz w:val="24"/>
        </w:rPr>
        <w:t xml:space="preserve"> S, </w:t>
      </w:r>
      <w:hyperlink r:id="rId8" w:anchor="!">
        <w:r w:rsidR="001F3150" w:rsidRPr="008E4EA5">
          <w:rPr>
            <w:rStyle w:val="Hyperlink"/>
            <w:rFonts w:eastAsia="Arial"/>
            <w:color w:val="auto"/>
            <w:sz w:val="24"/>
            <w:u w:val="none"/>
          </w:rPr>
          <w:t>Muranushi</w:t>
        </w:r>
      </w:hyperlink>
      <w:r w:rsidR="001F3150" w:rsidRPr="008E4EA5">
        <w:rPr>
          <w:rFonts w:eastAsia="Arial"/>
          <w:color w:val="auto"/>
          <w:sz w:val="24"/>
        </w:rPr>
        <w:t xml:space="preserve"> N, </w:t>
      </w:r>
      <w:hyperlink r:id="rId9" w:anchor="!">
        <w:r w:rsidR="001F3150" w:rsidRPr="008E4EA5">
          <w:rPr>
            <w:rStyle w:val="Hyperlink"/>
            <w:rFonts w:eastAsia="Arial"/>
            <w:color w:val="auto"/>
            <w:sz w:val="24"/>
            <w:u w:val="none"/>
          </w:rPr>
          <w:t>Sezaki</w:t>
        </w:r>
      </w:hyperlink>
      <w:r w:rsidRPr="008E4EA5">
        <w:rPr>
          <w:rFonts w:eastAsia="Arial" w:cs="Arial"/>
          <w:sz w:val="24"/>
          <w:szCs w:val="24"/>
        </w:rPr>
        <w:t xml:space="preserve"> H</w:t>
      </w:r>
      <w:r w:rsidRPr="005E6E2B">
        <w:rPr>
          <w:rFonts w:eastAsia="Arial" w:cs="Arial"/>
          <w:sz w:val="24"/>
          <w:szCs w:val="24"/>
        </w:rPr>
        <w:t>. Improvement of absolute bioavailability of normally poorly absorbed drugs: inducement of the intestinal absorption of streptomycin and gentamycin by lipid-bile salt mixed micelles in rat and rabbit. Int J Pharm 1979; 2(2): 101-111.</w:t>
      </w:r>
    </w:p>
    <w:p w14:paraId="7521FF4B" w14:textId="77777777" w:rsidR="003F021F" w:rsidRPr="00E2407B" w:rsidRDefault="003F021F" w:rsidP="00E2407B">
      <w:pPr>
        <w:spacing w:after="0" w:line="360" w:lineRule="auto"/>
        <w:ind w:left="720" w:hanging="720"/>
        <w:rPr>
          <w:rFonts w:eastAsia="Arial" w:cs="Arial"/>
          <w:sz w:val="24"/>
          <w:szCs w:val="24"/>
        </w:rPr>
      </w:pPr>
      <w:r w:rsidRPr="003F021F">
        <w:rPr>
          <w:rFonts w:eastAsia="Arial" w:cs="Arial"/>
          <w:sz w:val="24"/>
          <w:szCs w:val="24"/>
        </w:rPr>
        <w:t>2</w:t>
      </w:r>
      <w:r w:rsidR="005E6E2B">
        <w:rPr>
          <w:rFonts w:eastAsia="Arial" w:cs="Arial"/>
          <w:sz w:val="24"/>
          <w:szCs w:val="24"/>
        </w:rPr>
        <w:t>7</w:t>
      </w:r>
      <w:r w:rsidRPr="003F021F">
        <w:rPr>
          <w:rFonts w:eastAsia="Arial" w:cs="Arial"/>
          <w:sz w:val="24"/>
          <w:szCs w:val="24"/>
        </w:rPr>
        <w:t xml:space="preserve"> </w:t>
      </w:r>
      <w:r>
        <w:rPr>
          <w:rFonts w:eastAsia="Arial" w:cs="Arial"/>
          <w:sz w:val="24"/>
          <w:szCs w:val="24"/>
        </w:rPr>
        <w:tab/>
      </w:r>
      <w:r w:rsidRPr="003F021F">
        <w:rPr>
          <w:rFonts w:eastAsia="Arial" w:cs="Arial"/>
          <w:sz w:val="24"/>
          <w:szCs w:val="24"/>
        </w:rPr>
        <w:t>Miyake M, Koga T, Kondo S, Yoda N, Emoto C, Mukai T, Toguchi H,</w:t>
      </w:r>
      <w:r w:rsidR="00EB62B9">
        <w:rPr>
          <w:rFonts w:eastAsia="Arial" w:cs="Arial"/>
          <w:sz w:val="24"/>
          <w:szCs w:val="24"/>
        </w:rPr>
        <w:t xml:space="preserve"> </w:t>
      </w:r>
      <w:r w:rsidRPr="003F021F">
        <w:rPr>
          <w:rFonts w:eastAsia="Arial" w:cs="Arial"/>
          <w:sz w:val="24"/>
          <w:szCs w:val="24"/>
        </w:rPr>
        <w:t>Prediction of drug intestinal absorption in human using the Ussing chamber system: A comparison of intestinal tissues from animals and humans. Eur J Pharm Sci, 2017; 96:373-380.</w:t>
      </w:r>
    </w:p>
    <w:p w14:paraId="5D983167" w14:textId="77777777" w:rsidR="00720511" w:rsidRPr="00E2407B" w:rsidRDefault="00942B2B" w:rsidP="00E2407B">
      <w:pPr>
        <w:spacing w:after="0" w:line="360" w:lineRule="auto"/>
        <w:ind w:left="720" w:hanging="720"/>
        <w:rPr>
          <w:rFonts w:eastAsia="Arial" w:cs="Arial"/>
          <w:sz w:val="24"/>
          <w:szCs w:val="24"/>
        </w:rPr>
      </w:pPr>
      <w:bookmarkStart w:id="28" w:name="_3whwml4" w:colFirst="0" w:colLast="0"/>
      <w:bookmarkStart w:id="29" w:name="_1pxezwc" w:colFirst="0" w:colLast="0"/>
      <w:bookmarkEnd w:id="28"/>
      <w:bookmarkEnd w:id="29"/>
      <w:r w:rsidRPr="00E2407B">
        <w:rPr>
          <w:rFonts w:eastAsia="Arial" w:cs="Arial"/>
          <w:sz w:val="24"/>
          <w:szCs w:val="24"/>
        </w:rPr>
        <w:t>28.</w:t>
      </w:r>
      <w:r w:rsidRPr="00E2407B">
        <w:rPr>
          <w:rFonts w:eastAsia="Arial" w:cs="Arial"/>
          <w:sz w:val="24"/>
          <w:szCs w:val="24"/>
        </w:rPr>
        <w:tab/>
        <w:t>Maher S, Kennelly R, Bzik VA, Baird AW, Wang X, Winter D, Brayden DJ. Evaluation of intestinal absorption enhancement and local mucosal toxicity of two promoters. I. Studies in isolated rat and human colonic mucosae. Eur J Pharm Sci 2009; 38(4): 291-300.</w:t>
      </w:r>
    </w:p>
    <w:p w14:paraId="32AC2552" w14:textId="77777777" w:rsidR="00720511" w:rsidRPr="00E2407B" w:rsidRDefault="00942B2B" w:rsidP="00E2407B">
      <w:pPr>
        <w:spacing w:after="0" w:line="360" w:lineRule="auto"/>
        <w:ind w:left="720" w:hanging="720"/>
        <w:rPr>
          <w:rFonts w:eastAsia="Arial" w:cs="Arial"/>
          <w:sz w:val="24"/>
          <w:szCs w:val="24"/>
        </w:rPr>
      </w:pPr>
      <w:bookmarkStart w:id="30" w:name="_49x2ik5" w:colFirst="0" w:colLast="0"/>
      <w:bookmarkEnd w:id="30"/>
      <w:r w:rsidRPr="00E2407B">
        <w:rPr>
          <w:rFonts w:eastAsia="Arial" w:cs="Arial"/>
          <w:sz w:val="24"/>
          <w:szCs w:val="24"/>
        </w:rPr>
        <w:t>29.</w:t>
      </w:r>
      <w:r w:rsidRPr="00E2407B">
        <w:rPr>
          <w:rFonts w:eastAsia="Arial" w:cs="Arial"/>
          <w:sz w:val="24"/>
          <w:szCs w:val="24"/>
        </w:rPr>
        <w:tab/>
        <w:t>Anderberg EK, Lindmark T, Artursson P.  Sodium caprate elicits dilatations in human intestinal tight junctions and enhances drug absorption by the paracellular route. Pharm Res 1993; 10(6): 857-864.</w:t>
      </w:r>
    </w:p>
    <w:p w14:paraId="112079A8" w14:textId="77777777" w:rsidR="00720511" w:rsidRPr="00E2407B" w:rsidRDefault="00942B2B" w:rsidP="00E2407B">
      <w:pPr>
        <w:spacing w:after="0" w:line="360" w:lineRule="auto"/>
        <w:ind w:left="720" w:hanging="720"/>
        <w:rPr>
          <w:rFonts w:eastAsia="Arial" w:cs="Arial"/>
          <w:sz w:val="24"/>
          <w:szCs w:val="24"/>
        </w:rPr>
      </w:pPr>
      <w:bookmarkStart w:id="31" w:name="_2p2csry" w:colFirst="0" w:colLast="0"/>
      <w:bookmarkEnd w:id="31"/>
      <w:r w:rsidRPr="00E2407B">
        <w:rPr>
          <w:rFonts w:eastAsia="Arial" w:cs="Arial"/>
          <w:sz w:val="24"/>
          <w:szCs w:val="24"/>
        </w:rPr>
        <w:t>30.</w:t>
      </w:r>
      <w:r w:rsidRPr="00E2407B">
        <w:rPr>
          <w:rFonts w:eastAsia="Arial" w:cs="Arial"/>
          <w:sz w:val="24"/>
          <w:szCs w:val="24"/>
        </w:rPr>
        <w:tab/>
        <w:t>Ungell AL, Nylander S, Bergstrand S, Sjöberg A, Lennernäs H. Membrane transport of drugs in different regions of the intestinal tract of the rat. J Pharm Sci, 1998; 87(3): 360-366.</w:t>
      </w:r>
    </w:p>
    <w:p w14:paraId="25E7E4B8" w14:textId="594A2834" w:rsidR="00720511" w:rsidRPr="00E2407B" w:rsidRDefault="00942B2B" w:rsidP="002D77EC">
      <w:pPr>
        <w:spacing w:after="0" w:line="360" w:lineRule="auto"/>
        <w:ind w:left="720" w:hanging="720"/>
        <w:rPr>
          <w:rFonts w:eastAsia="Arial" w:cs="Arial"/>
          <w:sz w:val="24"/>
          <w:szCs w:val="24"/>
        </w:rPr>
      </w:pPr>
      <w:bookmarkStart w:id="32" w:name="_147n2zr" w:colFirst="0" w:colLast="0"/>
      <w:bookmarkEnd w:id="32"/>
      <w:r w:rsidRPr="00E2407B">
        <w:rPr>
          <w:rFonts w:eastAsia="Arial" w:cs="Arial"/>
          <w:sz w:val="24"/>
          <w:szCs w:val="24"/>
        </w:rPr>
        <w:t>31.</w:t>
      </w:r>
      <w:r w:rsidRPr="00E2407B">
        <w:rPr>
          <w:rFonts w:eastAsia="Arial" w:cs="Arial"/>
          <w:sz w:val="24"/>
          <w:szCs w:val="24"/>
        </w:rPr>
        <w:tab/>
      </w:r>
      <w:r w:rsidR="002D77EC" w:rsidRPr="002D77EC">
        <w:rPr>
          <w:rFonts w:eastAsia="Arial" w:cs="Arial"/>
          <w:sz w:val="24"/>
          <w:szCs w:val="24"/>
        </w:rPr>
        <w:t>Petersen SB, Nolan G, Maher S, Rahbe</w:t>
      </w:r>
      <w:r w:rsidR="002D77EC">
        <w:rPr>
          <w:rFonts w:eastAsia="Arial" w:cs="Arial"/>
          <w:sz w:val="24"/>
          <w:szCs w:val="24"/>
        </w:rPr>
        <w:t xml:space="preserve">k UL, Guldbrandt M, Brayden DJ. </w:t>
      </w:r>
      <w:r w:rsidR="002D77EC" w:rsidRPr="002D77EC">
        <w:rPr>
          <w:rFonts w:eastAsia="Arial" w:cs="Arial"/>
          <w:sz w:val="24"/>
          <w:szCs w:val="24"/>
        </w:rPr>
        <w:t>Evaluation of alkylmaltosides as intestinal permeation enhancers: comparison between rat intestinal mucosa</w:t>
      </w:r>
      <w:r w:rsidR="002D77EC">
        <w:rPr>
          <w:rFonts w:eastAsia="Arial" w:cs="Arial"/>
          <w:sz w:val="24"/>
          <w:szCs w:val="24"/>
        </w:rPr>
        <w:t xml:space="preserve">l sheets and Caco-2 monolayers.  </w:t>
      </w:r>
      <w:r w:rsidR="002D77EC" w:rsidRPr="002D77EC">
        <w:rPr>
          <w:rFonts w:eastAsia="Arial" w:cs="Arial"/>
          <w:sz w:val="24"/>
          <w:szCs w:val="24"/>
        </w:rPr>
        <w:t>Eur J Pharm Sci. 2012</w:t>
      </w:r>
      <w:r w:rsidR="002D77EC">
        <w:rPr>
          <w:rFonts w:eastAsia="Arial" w:cs="Arial"/>
          <w:sz w:val="24"/>
          <w:szCs w:val="24"/>
        </w:rPr>
        <w:t>;</w:t>
      </w:r>
      <w:r w:rsidR="002D77EC" w:rsidRPr="002D77EC">
        <w:rPr>
          <w:rFonts w:eastAsia="Arial" w:cs="Arial"/>
          <w:sz w:val="24"/>
          <w:szCs w:val="24"/>
        </w:rPr>
        <w:t xml:space="preserve"> 47(4):701-</w:t>
      </w:r>
      <w:r w:rsidR="002D77EC">
        <w:rPr>
          <w:rFonts w:eastAsia="Arial" w:cs="Arial"/>
          <w:sz w:val="24"/>
          <w:szCs w:val="24"/>
        </w:rPr>
        <w:t>7</w:t>
      </w:r>
      <w:r w:rsidR="002D77EC" w:rsidRPr="002D77EC">
        <w:rPr>
          <w:rFonts w:eastAsia="Arial" w:cs="Arial"/>
          <w:sz w:val="24"/>
          <w:szCs w:val="24"/>
        </w:rPr>
        <w:t>12.</w:t>
      </w:r>
    </w:p>
    <w:p w14:paraId="4C3E33A5" w14:textId="774F07A9" w:rsidR="00720511" w:rsidRPr="00E2407B" w:rsidRDefault="00942B2B" w:rsidP="00E2407B">
      <w:pPr>
        <w:pStyle w:val="BodyTextIndent"/>
      </w:pPr>
      <w:bookmarkStart w:id="33" w:name="_3o7alnk" w:colFirst="0" w:colLast="0"/>
      <w:bookmarkEnd w:id="33"/>
      <w:r w:rsidRPr="00E2407B">
        <w:t>32.</w:t>
      </w:r>
      <w:r w:rsidRPr="00E2407B">
        <w:tab/>
        <w:t>Baldassano S, Liu S, Qu MH, Mulè F, Wood JD. Glucagon-like peptide-2 modulates neurally</w:t>
      </w:r>
      <w:r w:rsidR="005E6E2B">
        <w:t>-</w:t>
      </w:r>
      <w:r w:rsidRPr="00E2407B">
        <w:t>evoked mucosal chloride secretion in guinea pig small intestine in vitro. Am J Physiol Gastrointest Liver Physiol 2009; 297(4): G800-G805.</w:t>
      </w:r>
    </w:p>
    <w:p w14:paraId="095021C1" w14:textId="77777777" w:rsidR="00720511" w:rsidRPr="00E2407B" w:rsidRDefault="00942B2B" w:rsidP="00E2407B">
      <w:pPr>
        <w:spacing w:after="0" w:line="360" w:lineRule="auto"/>
        <w:ind w:left="720" w:hanging="720"/>
        <w:rPr>
          <w:rFonts w:eastAsia="Arial" w:cs="Arial"/>
          <w:sz w:val="24"/>
          <w:szCs w:val="24"/>
        </w:rPr>
      </w:pPr>
      <w:bookmarkStart w:id="34" w:name="_23ckvvd" w:colFirst="0" w:colLast="0"/>
      <w:bookmarkEnd w:id="34"/>
      <w:r w:rsidRPr="00E2407B">
        <w:rPr>
          <w:rFonts w:eastAsia="Arial" w:cs="Arial"/>
          <w:sz w:val="24"/>
          <w:szCs w:val="24"/>
        </w:rPr>
        <w:lastRenderedPageBreak/>
        <w:t>33.</w:t>
      </w:r>
      <w:r w:rsidRPr="00E2407B">
        <w:rPr>
          <w:rFonts w:eastAsia="Arial" w:cs="Arial"/>
          <w:sz w:val="24"/>
          <w:szCs w:val="24"/>
        </w:rPr>
        <w:tab/>
        <w:t>Sjöberg Å, Lutz M, Tannergren C, Wingolf C, Borde A, Ungell AL. Comprehensive study on regional human intestinal permeability and prediction of fraction absorbed of drugs using the Ussing chamber technique. Eur J Pharm Sci 2013; 48(1): 166-180.</w:t>
      </w:r>
    </w:p>
    <w:p w14:paraId="622B904D" w14:textId="77777777" w:rsidR="00720511" w:rsidRPr="00E2407B" w:rsidRDefault="00942B2B" w:rsidP="00E2407B">
      <w:pPr>
        <w:spacing w:after="0" w:line="360" w:lineRule="auto"/>
        <w:ind w:left="720" w:hanging="720"/>
        <w:rPr>
          <w:rFonts w:eastAsia="Arial" w:cs="Arial"/>
          <w:sz w:val="24"/>
          <w:szCs w:val="24"/>
        </w:rPr>
      </w:pPr>
      <w:bookmarkStart w:id="35" w:name="_ihv636" w:colFirst="0" w:colLast="0"/>
      <w:bookmarkEnd w:id="35"/>
      <w:r w:rsidRPr="00E2407B">
        <w:rPr>
          <w:rFonts w:eastAsia="Arial" w:cs="Arial"/>
          <w:sz w:val="24"/>
          <w:szCs w:val="24"/>
        </w:rPr>
        <w:t>34.</w:t>
      </w:r>
      <w:r w:rsidRPr="00E2407B">
        <w:rPr>
          <w:rFonts w:eastAsia="Arial" w:cs="Arial"/>
          <w:sz w:val="24"/>
          <w:szCs w:val="24"/>
        </w:rPr>
        <w:tab/>
        <w:t>Schultheiss G, Ribeiro R, Diener M. Fatty acids inhibit anion secretion in rat colon: apical and basolateral action sites. Pflugers Arch 2001; 442(4): 603-613.</w:t>
      </w:r>
    </w:p>
    <w:p w14:paraId="3F3B245D" w14:textId="654354A4" w:rsidR="00720511" w:rsidRPr="00E2407B" w:rsidRDefault="0032504C" w:rsidP="00E2407B">
      <w:pPr>
        <w:spacing w:after="0" w:line="360" w:lineRule="auto"/>
        <w:ind w:left="720" w:hanging="720"/>
        <w:rPr>
          <w:rFonts w:eastAsia="Arial" w:cs="Arial"/>
          <w:sz w:val="24"/>
          <w:szCs w:val="24"/>
        </w:rPr>
      </w:pPr>
      <w:bookmarkStart w:id="36" w:name="_32hioqz" w:colFirst="0" w:colLast="0"/>
      <w:bookmarkStart w:id="37" w:name="_1hmsyys" w:colFirst="0" w:colLast="0"/>
      <w:bookmarkEnd w:id="36"/>
      <w:bookmarkEnd w:id="37"/>
      <w:r>
        <w:rPr>
          <w:rFonts w:eastAsia="Arial" w:cs="Arial"/>
          <w:sz w:val="24"/>
          <w:szCs w:val="24"/>
        </w:rPr>
        <w:t>35</w:t>
      </w:r>
      <w:r w:rsidR="00942B2B" w:rsidRPr="00E2407B">
        <w:rPr>
          <w:rFonts w:eastAsia="Arial" w:cs="Arial"/>
          <w:sz w:val="24"/>
          <w:szCs w:val="24"/>
        </w:rPr>
        <w:t>.</w:t>
      </w:r>
      <w:r w:rsidR="00942B2B" w:rsidRPr="00E2407B">
        <w:rPr>
          <w:rFonts w:eastAsia="Arial" w:cs="Arial"/>
          <w:sz w:val="24"/>
          <w:szCs w:val="24"/>
        </w:rPr>
        <w:tab/>
        <w:t>Rama Prasad YV, Eaimtrakarn S, Ishida M, Kusawake Y, Tawa R, Yoshikawa Y, Shibata N, Takada K. Evaluation of oral formulations of gentamicin containing labrasol in beagle dogs. Int J Pharm 2003; 268(1-2): 13-21.</w:t>
      </w:r>
    </w:p>
    <w:p w14:paraId="5AEEE14B" w14:textId="63130F03" w:rsidR="001F3150" w:rsidRPr="007E40D5" w:rsidRDefault="001F3150" w:rsidP="007E40D5">
      <w:pPr>
        <w:pStyle w:val="BodyTextIndent2"/>
        <w:rPr>
          <w:color w:val="auto"/>
        </w:rPr>
      </w:pPr>
      <w:bookmarkStart w:id="38" w:name="_41mghml" w:colFirst="0" w:colLast="0"/>
      <w:bookmarkEnd w:id="38"/>
      <w:r w:rsidRPr="007E40D5">
        <w:rPr>
          <w:color w:val="auto"/>
        </w:rPr>
        <w:t>36.</w:t>
      </w:r>
      <w:r w:rsidRPr="007E40D5">
        <w:rPr>
          <w:color w:val="auto"/>
        </w:rPr>
        <w:tab/>
        <w:t>Maher S, Leonard TW, Jacobsen J, Brayden DJ. Safety and efficacy of sodium caprate in promoting oral drug absorption: from in vitro to the clinic. Adv Drug Deliv Rev 2009; 61(15): 1427-1449.</w:t>
      </w:r>
    </w:p>
    <w:p w14:paraId="1945EE76" w14:textId="6D33D475" w:rsidR="00720511" w:rsidRPr="00E2407B" w:rsidRDefault="00942B2B" w:rsidP="00E2407B">
      <w:pPr>
        <w:spacing w:after="0" w:line="360" w:lineRule="auto"/>
        <w:ind w:left="720" w:hanging="720"/>
        <w:rPr>
          <w:rFonts w:eastAsia="Arial" w:cs="Arial"/>
          <w:sz w:val="24"/>
          <w:szCs w:val="24"/>
        </w:rPr>
      </w:pPr>
      <w:bookmarkStart w:id="39" w:name="_2grqrue" w:colFirst="0" w:colLast="0"/>
      <w:bookmarkEnd w:id="39"/>
      <w:r w:rsidRPr="00E2407B">
        <w:rPr>
          <w:rFonts w:eastAsia="Arial" w:cs="Arial"/>
          <w:sz w:val="24"/>
          <w:szCs w:val="24"/>
        </w:rPr>
        <w:t>3</w:t>
      </w:r>
      <w:r w:rsidR="0032504C">
        <w:rPr>
          <w:rFonts w:eastAsia="Arial" w:cs="Arial"/>
          <w:sz w:val="24"/>
          <w:szCs w:val="24"/>
        </w:rPr>
        <w:t>7</w:t>
      </w:r>
      <w:r w:rsidRPr="00E2407B">
        <w:rPr>
          <w:rFonts w:eastAsia="Arial" w:cs="Arial"/>
          <w:sz w:val="24"/>
          <w:szCs w:val="24"/>
        </w:rPr>
        <w:t>.</w:t>
      </w:r>
      <w:r w:rsidRPr="00E2407B">
        <w:rPr>
          <w:rFonts w:eastAsia="Arial" w:cs="Arial"/>
          <w:sz w:val="24"/>
          <w:szCs w:val="24"/>
        </w:rPr>
        <w:tab/>
        <w:t xml:space="preserve">Tadros TF. Industrial applications of surfactants. In: </w:t>
      </w:r>
      <w:r w:rsidRPr="00E2407B">
        <w:rPr>
          <w:rFonts w:eastAsia="Arial" w:cs="Arial"/>
          <w:i/>
          <w:sz w:val="24"/>
          <w:szCs w:val="24"/>
        </w:rPr>
        <w:t>An Introduction to Surfactants</w:t>
      </w:r>
      <w:r w:rsidRPr="00E2407B">
        <w:rPr>
          <w:rFonts w:eastAsia="Arial" w:cs="Arial"/>
          <w:sz w:val="24"/>
          <w:szCs w:val="24"/>
        </w:rPr>
        <w:t>. Chapter 11, De Gruyter, Germany. pp</w:t>
      </w:r>
      <w:r w:rsidR="00926446">
        <w:rPr>
          <w:rFonts w:eastAsia="Arial" w:cs="Arial"/>
          <w:sz w:val="24"/>
          <w:szCs w:val="24"/>
        </w:rPr>
        <w:t>.</w:t>
      </w:r>
      <w:r w:rsidRPr="00E2407B">
        <w:rPr>
          <w:rFonts w:eastAsia="Arial" w:cs="Arial"/>
          <w:sz w:val="24"/>
          <w:szCs w:val="24"/>
        </w:rPr>
        <w:t>179-220.</w:t>
      </w:r>
    </w:p>
    <w:p w14:paraId="2AD9F425" w14:textId="28184AC9" w:rsidR="00720511" w:rsidRPr="00E2407B" w:rsidRDefault="00942B2B" w:rsidP="00E2407B">
      <w:pPr>
        <w:spacing w:after="0" w:line="360" w:lineRule="auto"/>
        <w:ind w:left="720" w:hanging="720"/>
        <w:rPr>
          <w:rFonts w:eastAsia="Arial" w:cs="Arial"/>
          <w:sz w:val="24"/>
          <w:szCs w:val="24"/>
        </w:rPr>
      </w:pPr>
      <w:bookmarkStart w:id="40" w:name="_vx1227" w:colFirst="0" w:colLast="0"/>
      <w:bookmarkEnd w:id="40"/>
      <w:r w:rsidRPr="00E2407B">
        <w:rPr>
          <w:rFonts w:eastAsia="Arial" w:cs="Arial"/>
          <w:sz w:val="24"/>
          <w:szCs w:val="24"/>
        </w:rPr>
        <w:t>3</w:t>
      </w:r>
      <w:r w:rsidR="0032504C">
        <w:rPr>
          <w:rFonts w:eastAsia="Arial" w:cs="Arial"/>
          <w:sz w:val="24"/>
          <w:szCs w:val="24"/>
        </w:rPr>
        <w:t>8</w:t>
      </w:r>
      <w:r w:rsidRPr="00E2407B">
        <w:rPr>
          <w:rFonts w:eastAsia="Arial" w:cs="Arial"/>
          <w:sz w:val="24"/>
          <w:szCs w:val="24"/>
        </w:rPr>
        <w:t>.</w:t>
      </w:r>
      <w:r w:rsidRPr="00E2407B">
        <w:rPr>
          <w:rFonts w:eastAsia="Arial" w:cs="Arial"/>
          <w:sz w:val="24"/>
          <w:szCs w:val="24"/>
        </w:rPr>
        <w:tab/>
        <w:t xml:space="preserve">Hargreaves AE. Surfactants in Action.  In: </w:t>
      </w:r>
      <w:r w:rsidRPr="00E2407B">
        <w:rPr>
          <w:rFonts w:eastAsia="Arial" w:cs="Arial"/>
          <w:i/>
          <w:sz w:val="24"/>
          <w:szCs w:val="24"/>
        </w:rPr>
        <w:t>Chemical Formulation - An Overview of Surfactant-Based Preparations Used in Everyday Life</w:t>
      </w:r>
      <w:r w:rsidRPr="00E2407B">
        <w:rPr>
          <w:rFonts w:eastAsia="Arial" w:cs="Arial"/>
          <w:sz w:val="24"/>
          <w:szCs w:val="24"/>
        </w:rPr>
        <w:t>. Royal Society of Chemistry, London, Chapter 2. pp. 48-88.</w:t>
      </w:r>
      <w:r w:rsidRPr="00E2407B">
        <w:rPr>
          <w:sz w:val="24"/>
        </w:rPr>
        <w:t xml:space="preserve"> </w:t>
      </w:r>
    </w:p>
    <w:p w14:paraId="0677E9AA" w14:textId="46F9C2E2" w:rsidR="00720511" w:rsidRPr="00E2407B" w:rsidRDefault="0032504C" w:rsidP="00E2407B">
      <w:pPr>
        <w:spacing w:after="0" w:line="360" w:lineRule="auto"/>
        <w:ind w:left="720" w:hanging="720"/>
        <w:rPr>
          <w:rFonts w:eastAsia="Arial" w:cs="Arial"/>
          <w:sz w:val="24"/>
          <w:szCs w:val="24"/>
        </w:rPr>
      </w:pPr>
      <w:bookmarkStart w:id="41" w:name="_3fwokq0" w:colFirst="0" w:colLast="0"/>
      <w:bookmarkEnd w:id="41"/>
      <w:r>
        <w:rPr>
          <w:rFonts w:eastAsia="Arial" w:cs="Arial"/>
          <w:sz w:val="24"/>
          <w:szCs w:val="24"/>
        </w:rPr>
        <w:t>39</w:t>
      </w:r>
      <w:r w:rsidR="00942B2B" w:rsidRPr="00E2407B">
        <w:rPr>
          <w:rFonts w:eastAsia="Arial" w:cs="Arial"/>
          <w:sz w:val="24"/>
          <w:szCs w:val="24"/>
        </w:rPr>
        <w:t>.</w:t>
      </w:r>
      <w:r w:rsidR="00942B2B" w:rsidRPr="00E2407B">
        <w:rPr>
          <w:rFonts w:eastAsia="Arial" w:cs="Arial"/>
          <w:sz w:val="24"/>
          <w:szCs w:val="24"/>
        </w:rPr>
        <w:tab/>
        <w:t>Novo Nordisk A/S US2013/0058999. Pharmaceutical compositions for oral administration of insulin peptides (2013). http://www.google.com/patents/US20130058999.  Accessed December 1</w:t>
      </w:r>
      <w:r w:rsidR="00942B2B" w:rsidRPr="00E2407B">
        <w:rPr>
          <w:rFonts w:eastAsia="Arial" w:cs="Arial"/>
          <w:sz w:val="24"/>
          <w:szCs w:val="24"/>
          <w:vertAlign w:val="superscript"/>
        </w:rPr>
        <w:t>st</w:t>
      </w:r>
      <w:r w:rsidR="00942B2B" w:rsidRPr="00E2407B">
        <w:rPr>
          <w:rFonts w:eastAsia="Arial" w:cs="Arial"/>
          <w:sz w:val="24"/>
          <w:szCs w:val="24"/>
        </w:rPr>
        <w:t>. 2017.</w:t>
      </w:r>
    </w:p>
    <w:p w14:paraId="414BD767" w14:textId="76B624FA" w:rsidR="00720511" w:rsidRPr="00E2407B" w:rsidRDefault="00942B2B" w:rsidP="00E2407B">
      <w:pPr>
        <w:spacing w:after="0" w:line="360" w:lineRule="auto"/>
        <w:ind w:left="720" w:hanging="720"/>
        <w:rPr>
          <w:rFonts w:eastAsia="Arial" w:cs="Arial"/>
          <w:sz w:val="24"/>
          <w:szCs w:val="24"/>
        </w:rPr>
      </w:pPr>
      <w:bookmarkStart w:id="42" w:name="_1v1yuxt" w:colFirst="0" w:colLast="0"/>
      <w:bookmarkEnd w:id="42"/>
      <w:r w:rsidRPr="00E2407B">
        <w:rPr>
          <w:rFonts w:eastAsia="Arial" w:cs="Arial"/>
          <w:sz w:val="24"/>
          <w:szCs w:val="24"/>
        </w:rPr>
        <w:t>4</w:t>
      </w:r>
      <w:r w:rsidR="0032504C">
        <w:rPr>
          <w:rFonts w:eastAsia="Arial" w:cs="Arial"/>
          <w:sz w:val="24"/>
          <w:szCs w:val="24"/>
        </w:rPr>
        <w:t>0</w:t>
      </w:r>
      <w:r w:rsidRPr="00E2407B">
        <w:rPr>
          <w:rFonts w:eastAsia="Arial" w:cs="Arial"/>
          <w:sz w:val="24"/>
          <w:szCs w:val="24"/>
        </w:rPr>
        <w:t>.</w:t>
      </w:r>
      <w:r w:rsidRPr="00E2407B">
        <w:rPr>
          <w:rFonts w:eastAsia="Arial" w:cs="Arial"/>
          <w:sz w:val="24"/>
          <w:szCs w:val="24"/>
        </w:rPr>
        <w:tab/>
        <w:t>Gradauer K, Nishiumi A, Unrinin K, Higashino H, Kataoka M, Pedersen BL, Buckley ST, Yamashita S. Interaction with mixed micelles in the intestine attenuates the permeation enhancing potential of alkyl-maltosides. Mol Pharm 2015; 12(7): 2245-2253.</w:t>
      </w:r>
    </w:p>
    <w:p w14:paraId="1593708C" w14:textId="44B57299" w:rsidR="00720511" w:rsidRPr="00E2407B" w:rsidRDefault="00942B2B" w:rsidP="00E2407B">
      <w:pPr>
        <w:spacing w:after="0" w:line="360" w:lineRule="auto"/>
        <w:ind w:left="720" w:hanging="720"/>
        <w:rPr>
          <w:rFonts w:eastAsia="Arial" w:cs="Arial"/>
          <w:sz w:val="24"/>
          <w:szCs w:val="24"/>
        </w:rPr>
      </w:pPr>
      <w:bookmarkStart w:id="43" w:name="_4f1mdlm" w:colFirst="0" w:colLast="0"/>
      <w:bookmarkEnd w:id="43"/>
      <w:r w:rsidRPr="00E2407B">
        <w:rPr>
          <w:rFonts w:eastAsia="Arial" w:cs="Arial"/>
          <w:sz w:val="24"/>
          <w:szCs w:val="24"/>
        </w:rPr>
        <w:t>4</w:t>
      </w:r>
      <w:r w:rsidR="0032504C">
        <w:rPr>
          <w:rFonts w:eastAsia="Arial" w:cs="Arial"/>
          <w:sz w:val="24"/>
          <w:szCs w:val="24"/>
        </w:rPr>
        <w:t>1</w:t>
      </w:r>
      <w:r w:rsidRPr="00E2407B">
        <w:rPr>
          <w:rFonts w:eastAsia="Arial" w:cs="Arial"/>
          <w:sz w:val="24"/>
          <w:szCs w:val="24"/>
        </w:rPr>
        <w:t>.</w:t>
      </w:r>
      <w:r w:rsidRPr="00E2407B">
        <w:rPr>
          <w:rFonts w:eastAsia="Arial" w:cs="Arial"/>
          <w:sz w:val="24"/>
          <w:szCs w:val="24"/>
        </w:rPr>
        <w:tab/>
        <w:t>Whitehead K, and Mitragotri S.  Mechanistic analysis of chemical permeation enhancers for oral drug delivery. Pharm Res 2008; 25(6): 1412-1419.</w:t>
      </w:r>
    </w:p>
    <w:p w14:paraId="54517470" w14:textId="7FFA2115" w:rsidR="00720511" w:rsidRDefault="00942B2B" w:rsidP="00E2407B">
      <w:pPr>
        <w:spacing w:after="0" w:line="360" w:lineRule="auto"/>
        <w:ind w:left="720" w:hanging="720"/>
        <w:rPr>
          <w:rFonts w:eastAsia="Arial" w:cs="Arial"/>
          <w:sz w:val="24"/>
          <w:szCs w:val="24"/>
        </w:rPr>
      </w:pPr>
      <w:bookmarkStart w:id="44" w:name="_2u6wntf" w:colFirst="0" w:colLast="0"/>
      <w:bookmarkEnd w:id="44"/>
      <w:r w:rsidRPr="00E2407B">
        <w:rPr>
          <w:rFonts w:eastAsia="Arial" w:cs="Arial"/>
          <w:sz w:val="24"/>
          <w:szCs w:val="24"/>
        </w:rPr>
        <w:t>4</w:t>
      </w:r>
      <w:r w:rsidR="0032504C">
        <w:rPr>
          <w:rFonts w:eastAsia="Arial" w:cs="Arial"/>
          <w:sz w:val="24"/>
          <w:szCs w:val="24"/>
        </w:rPr>
        <w:t>2</w:t>
      </w:r>
      <w:r w:rsidRPr="00E2407B">
        <w:rPr>
          <w:rFonts w:eastAsia="Arial" w:cs="Arial"/>
          <w:sz w:val="24"/>
          <w:szCs w:val="24"/>
        </w:rPr>
        <w:t>.</w:t>
      </w:r>
      <w:r w:rsidRPr="00E2407B">
        <w:rPr>
          <w:rFonts w:eastAsia="Arial" w:cs="Arial"/>
          <w:sz w:val="24"/>
          <w:szCs w:val="24"/>
        </w:rPr>
        <w:tab/>
        <w:t>Alvi MM and Chatterjee P.  A prospective analysis of co-processed non-ionic surfactants in enhancing permeability of a model hydrophilic drug. AAPS PharmSciTech 2014; 15(2): 339-353.</w:t>
      </w:r>
    </w:p>
    <w:p w14:paraId="53ECD4C3" w14:textId="77777777" w:rsidR="00926446" w:rsidRPr="00926446" w:rsidRDefault="00562873" w:rsidP="00926446">
      <w:pPr>
        <w:spacing w:after="0" w:line="360" w:lineRule="auto"/>
        <w:ind w:left="720" w:hanging="720"/>
        <w:rPr>
          <w:rFonts w:eastAsia="Arial" w:cs="Arial"/>
          <w:sz w:val="24"/>
          <w:szCs w:val="24"/>
          <w:lang w:val="en-GB"/>
        </w:rPr>
      </w:pPr>
      <w:r>
        <w:rPr>
          <w:rFonts w:eastAsia="Arial" w:cs="Arial"/>
          <w:sz w:val="24"/>
          <w:szCs w:val="24"/>
        </w:rPr>
        <w:t xml:space="preserve">43. </w:t>
      </w:r>
      <w:r>
        <w:rPr>
          <w:rFonts w:eastAsia="Arial" w:cs="Arial"/>
          <w:sz w:val="24"/>
          <w:szCs w:val="24"/>
        </w:rPr>
        <w:tab/>
      </w:r>
      <w:r w:rsidR="00926446" w:rsidRPr="00926446">
        <w:rPr>
          <w:rFonts w:eastAsia="Arial" w:cs="Arial"/>
          <w:sz w:val="24"/>
          <w:szCs w:val="24"/>
          <w:lang w:val="en-GB"/>
        </w:rPr>
        <w:t>Maher S, Heade J, McCartney F, Waters S, Bleiel SB, Brayden DJ.</w:t>
      </w:r>
    </w:p>
    <w:p w14:paraId="3FAB2225" w14:textId="77777777" w:rsidR="001F3150" w:rsidRPr="007E40D5" w:rsidRDefault="001F105B" w:rsidP="007E40D5">
      <w:pPr>
        <w:spacing w:after="0" w:line="360" w:lineRule="auto"/>
        <w:ind w:left="720"/>
        <w:rPr>
          <w:rFonts w:eastAsia="Arial"/>
          <w:color w:val="auto"/>
          <w:sz w:val="24"/>
          <w:lang w:val="en-GB"/>
        </w:rPr>
      </w:pPr>
      <w:hyperlink r:id="rId10" w:history="1">
        <w:r w:rsidR="001F3150" w:rsidRPr="007E40D5">
          <w:rPr>
            <w:rStyle w:val="Hyperlink"/>
            <w:rFonts w:eastAsia="Arial"/>
            <w:color w:val="auto"/>
            <w:sz w:val="24"/>
            <w:u w:val="none"/>
            <w:lang w:val="en-GB"/>
          </w:rPr>
          <w:t>Effects of surfactant-based permeation enhancers on mannitol permeability, histology, and electrogenic ion transport responses in excised rat colonic mucosae.</w:t>
        </w:r>
      </w:hyperlink>
    </w:p>
    <w:p w14:paraId="5CCF1AC3" w14:textId="16D0970C" w:rsidR="001F3150" w:rsidRPr="008E4EA5" w:rsidRDefault="00926446" w:rsidP="008E4EA5">
      <w:pPr>
        <w:spacing w:after="0" w:line="360" w:lineRule="auto"/>
        <w:ind w:left="720"/>
        <w:rPr>
          <w:rFonts w:eastAsia="Arial" w:cs="Arial"/>
          <w:sz w:val="24"/>
          <w:szCs w:val="24"/>
          <w:lang w:val="en-GB"/>
        </w:rPr>
      </w:pPr>
      <w:r w:rsidRPr="00926446">
        <w:rPr>
          <w:rFonts w:eastAsia="Arial" w:cs="Arial"/>
          <w:sz w:val="24"/>
          <w:szCs w:val="24"/>
          <w:lang w:val="en-GB"/>
        </w:rPr>
        <w:t>Int J Pharm. 2018</w:t>
      </w:r>
      <w:r>
        <w:rPr>
          <w:rFonts w:eastAsia="Arial" w:cs="Arial"/>
          <w:sz w:val="24"/>
          <w:szCs w:val="24"/>
          <w:lang w:val="en-GB"/>
        </w:rPr>
        <w:t>;</w:t>
      </w:r>
      <w:r w:rsidRPr="00926446">
        <w:rPr>
          <w:rFonts w:eastAsia="Arial" w:cs="Arial"/>
          <w:sz w:val="24"/>
          <w:szCs w:val="24"/>
          <w:lang w:val="en-GB"/>
        </w:rPr>
        <w:t xml:space="preserve"> Jan 13. pii: S0378-5173(18)30008-5. doi: 10.1016/j.ijpharm.2018.01.008</w:t>
      </w:r>
    </w:p>
    <w:p w14:paraId="10428C06" w14:textId="11349AB7" w:rsidR="00720511" w:rsidRPr="00E2407B" w:rsidRDefault="00942B2B" w:rsidP="008E4EA5">
      <w:pPr>
        <w:spacing w:after="0" w:line="360" w:lineRule="auto"/>
        <w:ind w:left="720" w:hanging="720"/>
        <w:rPr>
          <w:rFonts w:eastAsia="Arial" w:cs="Arial"/>
          <w:sz w:val="24"/>
          <w:szCs w:val="24"/>
        </w:rPr>
      </w:pPr>
      <w:bookmarkStart w:id="45" w:name="_19c6y18" w:colFirst="0" w:colLast="0"/>
      <w:bookmarkEnd w:id="45"/>
      <w:r w:rsidRPr="00E2407B">
        <w:rPr>
          <w:rFonts w:eastAsia="Arial" w:cs="Arial"/>
          <w:sz w:val="24"/>
          <w:szCs w:val="24"/>
        </w:rPr>
        <w:lastRenderedPageBreak/>
        <w:t>4</w:t>
      </w:r>
      <w:r w:rsidR="00562873">
        <w:rPr>
          <w:rFonts w:eastAsia="Arial" w:cs="Arial"/>
          <w:sz w:val="24"/>
          <w:szCs w:val="24"/>
        </w:rPr>
        <w:t>4</w:t>
      </w:r>
      <w:r w:rsidRPr="00E2407B">
        <w:rPr>
          <w:rFonts w:eastAsia="Arial" w:cs="Arial"/>
          <w:sz w:val="24"/>
          <w:szCs w:val="24"/>
        </w:rPr>
        <w:t>.</w:t>
      </w:r>
      <w:r w:rsidRPr="00E2407B">
        <w:rPr>
          <w:rFonts w:eastAsia="Arial" w:cs="Arial"/>
          <w:sz w:val="24"/>
          <w:szCs w:val="24"/>
        </w:rPr>
        <w:tab/>
      </w:r>
      <w:r w:rsidR="008E4EA5" w:rsidRPr="008E4EA5">
        <w:rPr>
          <w:rFonts w:eastAsia="Arial" w:cs="Arial"/>
          <w:sz w:val="24"/>
          <w:szCs w:val="24"/>
        </w:rPr>
        <w:t>McCar</w:t>
      </w:r>
      <w:r w:rsidR="008E4EA5">
        <w:rPr>
          <w:rFonts w:eastAsia="Arial" w:cs="Arial"/>
          <w:sz w:val="24"/>
          <w:szCs w:val="24"/>
        </w:rPr>
        <w:t xml:space="preserve">tney F, Gleeson JP, Brayden DJ.  </w:t>
      </w:r>
      <w:r w:rsidR="008E4EA5" w:rsidRPr="008E4EA5">
        <w:rPr>
          <w:rFonts w:eastAsia="Arial" w:cs="Arial"/>
          <w:sz w:val="24"/>
          <w:szCs w:val="24"/>
        </w:rPr>
        <w:t>Safety concerns over the use of intestinal perme</w:t>
      </w:r>
      <w:r w:rsidR="008E4EA5">
        <w:rPr>
          <w:rFonts w:eastAsia="Arial" w:cs="Arial"/>
          <w:sz w:val="24"/>
          <w:szCs w:val="24"/>
        </w:rPr>
        <w:t xml:space="preserve">ation enhancers: A mini-review. Tissue Barriers. 2016; </w:t>
      </w:r>
      <w:r w:rsidR="008E4EA5" w:rsidRPr="008E4EA5">
        <w:rPr>
          <w:rFonts w:eastAsia="Arial" w:cs="Arial"/>
          <w:sz w:val="24"/>
          <w:szCs w:val="24"/>
        </w:rPr>
        <w:t>4(2):e1176822.</w:t>
      </w:r>
    </w:p>
    <w:p w14:paraId="64028C35" w14:textId="49B44682" w:rsidR="00720511" w:rsidRDefault="00942B2B" w:rsidP="00E2407B">
      <w:pPr>
        <w:spacing w:after="0" w:line="360" w:lineRule="auto"/>
        <w:ind w:left="720" w:hanging="720"/>
        <w:rPr>
          <w:rFonts w:eastAsia="Arial" w:cs="Arial"/>
          <w:sz w:val="24"/>
          <w:szCs w:val="24"/>
        </w:rPr>
      </w:pPr>
      <w:bookmarkStart w:id="46" w:name="_3tbugp1" w:colFirst="0" w:colLast="0"/>
      <w:bookmarkEnd w:id="46"/>
      <w:r w:rsidRPr="00E2407B">
        <w:rPr>
          <w:rFonts w:eastAsia="Arial" w:cs="Arial"/>
          <w:sz w:val="24"/>
          <w:szCs w:val="24"/>
        </w:rPr>
        <w:t>4</w:t>
      </w:r>
      <w:r w:rsidR="00562873">
        <w:rPr>
          <w:rFonts w:eastAsia="Arial" w:cs="Arial"/>
          <w:sz w:val="24"/>
          <w:szCs w:val="24"/>
        </w:rPr>
        <w:t>5</w:t>
      </w:r>
      <w:r w:rsidRPr="00E2407B">
        <w:rPr>
          <w:rFonts w:eastAsia="Arial" w:cs="Arial"/>
          <w:sz w:val="24"/>
          <w:szCs w:val="24"/>
        </w:rPr>
        <w:t>.</w:t>
      </w:r>
      <w:r w:rsidRPr="00E2407B">
        <w:rPr>
          <w:rFonts w:eastAsia="Arial" w:cs="Arial"/>
          <w:sz w:val="24"/>
          <w:szCs w:val="24"/>
        </w:rPr>
        <w:tab/>
        <w:t>Riethorst D, Mols R, Duchateau G, Tack J, Brouwers J, Augustijns P. Characterization of human duodenal fluids in fasted and fed state conditions. J Pharm Sci 2016; 105(2): 673-681.</w:t>
      </w:r>
    </w:p>
    <w:p w14:paraId="65C276DE" w14:textId="709A0C62" w:rsidR="00033581" w:rsidRPr="00E2407B" w:rsidRDefault="00033581" w:rsidP="00033581">
      <w:pPr>
        <w:spacing w:after="0" w:line="360" w:lineRule="auto"/>
        <w:ind w:left="720" w:hanging="720"/>
        <w:rPr>
          <w:rFonts w:eastAsia="Arial" w:cs="Arial"/>
          <w:sz w:val="24"/>
          <w:szCs w:val="24"/>
        </w:rPr>
      </w:pPr>
      <w:r>
        <w:rPr>
          <w:rFonts w:eastAsia="Arial" w:cs="Arial"/>
          <w:sz w:val="24"/>
          <w:szCs w:val="24"/>
        </w:rPr>
        <w:t>4</w:t>
      </w:r>
      <w:r w:rsidR="00562873">
        <w:rPr>
          <w:rFonts w:eastAsia="Arial" w:cs="Arial"/>
          <w:sz w:val="24"/>
          <w:szCs w:val="24"/>
        </w:rPr>
        <w:t>6</w:t>
      </w:r>
      <w:r w:rsidRPr="00E2407B">
        <w:rPr>
          <w:rFonts w:eastAsia="Arial" w:cs="Arial"/>
          <w:sz w:val="24"/>
          <w:szCs w:val="24"/>
        </w:rPr>
        <w:t>.</w:t>
      </w:r>
      <w:r w:rsidRPr="00E2407B">
        <w:rPr>
          <w:rFonts w:eastAsia="Arial" w:cs="Arial"/>
          <w:sz w:val="24"/>
          <w:szCs w:val="24"/>
        </w:rPr>
        <w:tab/>
        <w:t>Wang J, Wang X, Li J, Chen Y, Yang W, Zhang L.  Effects of dietary coconut oil as a medium-chain fatty acid source on performance, carcass composition and serum lipids in male broilers. Asian-Australasian Journal of Animal Sciences 2015; 28(2): 223-230.</w:t>
      </w:r>
    </w:p>
    <w:p w14:paraId="705714E9" w14:textId="5A5EE0A9" w:rsidR="00720511" w:rsidRPr="00E2407B" w:rsidRDefault="00942B2B" w:rsidP="00E2407B">
      <w:pPr>
        <w:spacing w:after="0" w:line="360" w:lineRule="auto"/>
        <w:ind w:left="720" w:hanging="720"/>
        <w:rPr>
          <w:rFonts w:eastAsia="Arial" w:cs="Arial"/>
          <w:sz w:val="24"/>
          <w:szCs w:val="24"/>
        </w:rPr>
      </w:pPr>
      <w:bookmarkStart w:id="47" w:name="_28h4qwu" w:colFirst="0" w:colLast="0"/>
      <w:bookmarkEnd w:id="47"/>
      <w:r w:rsidRPr="00E2407B">
        <w:rPr>
          <w:rFonts w:eastAsia="Arial" w:cs="Arial"/>
          <w:sz w:val="24"/>
          <w:szCs w:val="24"/>
        </w:rPr>
        <w:t>4</w:t>
      </w:r>
      <w:r w:rsidR="00562873">
        <w:rPr>
          <w:rFonts w:eastAsia="Arial" w:cs="Arial"/>
          <w:sz w:val="24"/>
          <w:szCs w:val="24"/>
        </w:rPr>
        <w:t>7</w:t>
      </w:r>
      <w:r w:rsidRPr="00E2407B">
        <w:rPr>
          <w:rFonts w:eastAsia="Arial" w:cs="Arial"/>
          <w:sz w:val="24"/>
          <w:szCs w:val="24"/>
        </w:rPr>
        <w:t>.</w:t>
      </w:r>
      <w:r w:rsidRPr="00E2407B">
        <w:rPr>
          <w:rFonts w:eastAsia="Arial" w:cs="Arial"/>
          <w:sz w:val="24"/>
          <w:szCs w:val="24"/>
        </w:rPr>
        <w:tab/>
        <w:t>Benet L, Wu C-Y, Custido JM.  Predicting drug absorption and the effects of food on oral bioavailability. Bull Techn Gattefosse (2006); 99: 9-16.</w:t>
      </w:r>
    </w:p>
    <w:p w14:paraId="57CA2EEC" w14:textId="04DD9900" w:rsidR="00720511" w:rsidRPr="00E2407B" w:rsidRDefault="00942B2B" w:rsidP="00E2407B">
      <w:pPr>
        <w:spacing w:after="0" w:line="360" w:lineRule="auto"/>
        <w:ind w:left="720" w:hanging="720"/>
        <w:rPr>
          <w:rFonts w:eastAsia="Arial" w:cs="Arial"/>
          <w:sz w:val="24"/>
          <w:szCs w:val="24"/>
        </w:rPr>
      </w:pPr>
      <w:bookmarkStart w:id="48" w:name="_nmf14n" w:colFirst="0" w:colLast="0"/>
      <w:bookmarkEnd w:id="48"/>
      <w:r w:rsidRPr="00E2407B">
        <w:rPr>
          <w:rFonts w:eastAsia="Arial" w:cs="Arial"/>
          <w:sz w:val="24"/>
          <w:szCs w:val="24"/>
        </w:rPr>
        <w:t>4</w:t>
      </w:r>
      <w:r w:rsidR="00562873">
        <w:rPr>
          <w:rFonts w:eastAsia="Arial" w:cs="Arial"/>
          <w:sz w:val="24"/>
          <w:szCs w:val="24"/>
        </w:rPr>
        <w:t>8</w:t>
      </w:r>
      <w:r w:rsidRPr="00E2407B">
        <w:rPr>
          <w:rFonts w:eastAsia="Arial" w:cs="Arial"/>
          <w:sz w:val="24"/>
          <w:szCs w:val="24"/>
        </w:rPr>
        <w:t>.</w:t>
      </w:r>
      <w:r w:rsidRPr="00E2407B">
        <w:rPr>
          <w:rFonts w:eastAsia="Arial" w:cs="Arial"/>
          <w:sz w:val="24"/>
          <w:szCs w:val="24"/>
        </w:rPr>
        <w:tab/>
        <w:t>Gu CH, Li H, Levons J, Lentz K, Gandhi RB, Raghavan K, Smith RL. Predicting effect of food on extent of drug absorption based on physicochemical properties. Pharm Res 2007; 24(6): 1118-1130.</w:t>
      </w:r>
    </w:p>
    <w:p w14:paraId="0276EC61" w14:textId="6600ADD1" w:rsidR="00720511" w:rsidRPr="00E2407B" w:rsidRDefault="00942B2B" w:rsidP="00E2407B">
      <w:pPr>
        <w:spacing w:after="0" w:line="360" w:lineRule="auto"/>
        <w:ind w:left="720" w:hanging="720"/>
        <w:rPr>
          <w:rFonts w:eastAsia="Arial" w:cs="Arial"/>
          <w:sz w:val="24"/>
          <w:szCs w:val="24"/>
        </w:rPr>
      </w:pPr>
      <w:bookmarkStart w:id="49" w:name="_37m2jsg" w:colFirst="0" w:colLast="0"/>
      <w:bookmarkEnd w:id="49"/>
      <w:r w:rsidRPr="00E2407B">
        <w:rPr>
          <w:rFonts w:eastAsia="Arial" w:cs="Arial"/>
          <w:sz w:val="24"/>
          <w:szCs w:val="24"/>
        </w:rPr>
        <w:t>4</w:t>
      </w:r>
      <w:r w:rsidR="00562873">
        <w:rPr>
          <w:rFonts w:eastAsia="Arial" w:cs="Arial"/>
          <w:sz w:val="24"/>
          <w:szCs w:val="24"/>
        </w:rPr>
        <w:t>9</w:t>
      </w:r>
      <w:r w:rsidRPr="00E2407B">
        <w:rPr>
          <w:rFonts w:eastAsia="Arial" w:cs="Arial"/>
          <w:sz w:val="24"/>
          <w:szCs w:val="24"/>
        </w:rPr>
        <w:t>.</w:t>
      </w:r>
      <w:r w:rsidRPr="00E2407B">
        <w:rPr>
          <w:rFonts w:eastAsia="Arial" w:cs="Arial"/>
          <w:sz w:val="24"/>
          <w:szCs w:val="24"/>
        </w:rPr>
        <w:tab/>
        <w:t>Fernandez S, Jannin V, Rodier JD, Ritter N, Mahler B, Carrière F. Comparative study on digestive lipase activities on the self</w:t>
      </w:r>
      <w:r w:rsidR="004D4894">
        <w:rPr>
          <w:rFonts w:eastAsia="Arial" w:cs="Arial"/>
          <w:sz w:val="24"/>
          <w:szCs w:val="24"/>
        </w:rPr>
        <w:t>-</w:t>
      </w:r>
      <w:r w:rsidRPr="00E2407B">
        <w:rPr>
          <w:rFonts w:eastAsia="Arial" w:cs="Arial"/>
          <w:sz w:val="24"/>
          <w:szCs w:val="24"/>
        </w:rPr>
        <w:t>emulsifying excipient Labrasol, medium chain glycerides and PEG esters. Biochim Biophys Acta 2007; 1771(5): 633-640.</w:t>
      </w:r>
    </w:p>
    <w:p w14:paraId="2756F425" w14:textId="33AECDDD" w:rsidR="00720511" w:rsidRPr="00E2407B" w:rsidRDefault="00562873" w:rsidP="00E2407B">
      <w:pPr>
        <w:spacing w:after="0" w:line="360" w:lineRule="auto"/>
        <w:ind w:left="720" w:hanging="720"/>
        <w:rPr>
          <w:rFonts w:eastAsia="Arial" w:cs="Arial"/>
          <w:sz w:val="24"/>
          <w:szCs w:val="24"/>
        </w:rPr>
      </w:pPr>
      <w:bookmarkStart w:id="50" w:name="_1mrcu09" w:colFirst="0" w:colLast="0"/>
      <w:bookmarkEnd w:id="50"/>
      <w:r>
        <w:rPr>
          <w:rFonts w:eastAsia="Arial" w:cs="Arial"/>
          <w:sz w:val="24"/>
          <w:szCs w:val="24"/>
        </w:rPr>
        <w:t>50</w:t>
      </w:r>
      <w:r w:rsidR="00942B2B" w:rsidRPr="00E2407B">
        <w:rPr>
          <w:rFonts w:eastAsia="Arial" w:cs="Arial"/>
          <w:sz w:val="24"/>
          <w:szCs w:val="24"/>
        </w:rPr>
        <w:t>.</w:t>
      </w:r>
      <w:r w:rsidR="00942B2B" w:rsidRPr="00E2407B">
        <w:rPr>
          <w:rFonts w:eastAsia="Arial" w:cs="Arial"/>
          <w:sz w:val="24"/>
          <w:szCs w:val="24"/>
        </w:rPr>
        <w:tab/>
        <w:t>Fernandez S, Chevrier S, Ritter N, Mahler B, Demarne F, Carrière F, Jannin V. In vitro gastrointestinal lipolysis of four formulations of piroxicam and cinnarizine with the self</w:t>
      </w:r>
      <w:r w:rsidR="004D4894">
        <w:rPr>
          <w:rFonts w:eastAsia="Arial" w:cs="Arial"/>
          <w:sz w:val="24"/>
          <w:szCs w:val="24"/>
        </w:rPr>
        <w:t>-</w:t>
      </w:r>
      <w:r w:rsidR="00942B2B" w:rsidRPr="00E2407B">
        <w:rPr>
          <w:rFonts w:eastAsia="Arial" w:cs="Arial"/>
          <w:sz w:val="24"/>
          <w:szCs w:val="24"/>
        </w:rPr>
        <w:t>emulsifying excipients Labrasol and Gelucire 44/14. Pharm Res 2009; 26(8): 1901-1910.</w:t>
      </w:r>
    </w:p>
    <w:p w14:paraId="4DE0FE0B" w14:textId="541C6B5B" w:rsidR="00720511" w:rsidRPr="00E2407B" w:rsidRDefault="00033581" w:rsidP="00E2407B">
      <w:pPr>
        <w:spacing w:after="0" w:line="360" w:lineRule="auto"/>
        <w:ind w:left="720" w:hanging="720"/>
        <w:rPr>
          <w:rFonts w:eastAsia="Arial" w:cs="Arial"/>
          <w:sz w:val="24"/>
          <w:szCs w:val="24"/>
        </w:rPr>
      </w:pPr>
      <w:bookmarkStart w:id="51" w:name="_46r0co2" w:colFirst="0" w:colLast="0"/>
      <w:bookmarkEnd w:id="51"/>
      <w:r>
        <w:rPr>
          <w:rFonts w:eastAsia="Arial" w:cs="Arial"/>
          <w:sz w:val="24"/>
          <w:szCs w:val="24"/>
        </w:rPr>
        <w:t>5</w:t>
      </w:r>
      <w:r w:rsidR="00562873">
        <w:rPr>
          <w:rFonts w:eastAsia="Arial" w:cs="Arial"/>
          <w:sz w:val="24"/>
          <w:szCs w:val="24"/>
        </w:rPr>
        <w:t>1</w:t>
      </w:r>
      <w:r w:rsidR="00942B2B" w:rsidRPr="00E2407B">
        <w:rPr>
          <w:rFonts w:eastAsia="Arial" w:cs="Arial"/>
          <w:sz w:val="24"/>
          <w:szCs w:val="24"/>
        </w:rPr>
        <w:t>.</w:t>
      </w:r>
      <w:r w:rsidR="00942B2B" w:rsidRPr="00E2407B">
        <w:rPr>
          <w:rFonts w:eastAsia="Arial" w:cs="Arial"/>
          <w:sz w:val="24"/>
          <w:szCs w:val="24"/>
        </w:rPr>
        <w:tab/>
        <w:t>Anby MU, Nguyen TH, Yeap YY, Feeney OM, Williams HD, Benameur H, Pouton CW, Porter CJ.</w:t>
      </w:r>
      <w:r w:rsidR="00791FF6">
        <w:rPr>
          <w:rFonts w:eastAsia="Arial" w:cs="Arial"/>
          <w:sz w:val="24"/>
          <w:szCs w:val="24"/>
        </w:rPr>
        <w:t xml:space="preserve"> </w:t>
      </w:r>
      <w:r w:rsidR="00942B2B" w:rsidRPr="00E2407B">
        <w:rPr>
          <w:rFonts w:eastAsia="Arial" w:cs="Arial"/>
          <w:sz w:val="24"/>
          <w:szCs w:val="24"/>
        </w:rPr>
        <w:t>An in vitro digestion test that reflects rat intestinal conditions to probe the importance of formulation digestion vs first pass metabolism in danazol bioavailability from lipid based formulations.  Molecular Pharmaceutics 2014; 11(11): 4069-4083.</w:t>
      </w:r>
    </w:p>
    <w:p w14:paraId="4B7ECB3B" w14:textId="614F5441" w:rsidR="00720511" w:rsidRDefault="0032504C" w:rsidP="00E2407B">
      <w:pPr>
        <w:spacing w:line="360" w:lineRule="auto"/>
        <w:ind w:left="720" w:hanging="720"/>
        <w:rPr>
          <w:rFonts w:eastAsia="Arial" w:cs="Arial"/>
          <w:sz w:val="24"/>
          <w:szCs w:val="24"/>
        </w:rPr>
      </w:pPr>
      <w:bookmarkStart w:id="52" w:name="_2lwamvv" w:colFirst="0" w:colLast="0"/>
      <w:bookmarkEnd w:id="52"/>
      <w:r>
        <w:rPr>
          <w:rFonts w:eastAsia="Arial" w:cs="Arial"/>
          <w:sz w:val="24"/>
          <w:szCs w:val="24"/>
        </w:rPr>
        <w:t>5</w:t>
      </w:r>
      <w:r w:rsidR="00562873">
        <w:rPr>
          <w:rFonts w:eastAsia="Arial" w:cs="Arial"/>
          <w:sz w:val="24"/>
          <w:szCs w:val="24"/>
        </w:rPr>
        <w:t>2</w:t>
      </w:r>
      <w:r w:rsidR="00942B2B" w:rsidRPr="00E2407B">
        <w:rPr>
          <w:rFonts w:eastAsia="Arial" w:cs="Arial"/>
          <w:sz w:val="24"/>
          <w:szCs w:val="24"/>
        </w:rPr>
        <w:t>.</w:t>
      </w:r>
      <w:r w:rsidR="00942B2B" w:rsidRPr="00E2407B">
        <w:rPr>
          <w:rFonts w:eastAsia="Arial" w:cs="Arial"/>
          <w:sz w:val="24"/>
          <w:szCs w:val="24"/>
        </w:rPr>
        <w:tab/>
        <w:t>Sadhukha T, Layek B, Prabha S. Incorporation of lipolysis in monolayer permeability studies of lipid-based oral drug delivery systems. Drug Deliv Transl Res 2017; May 1. doi: 10.1007/s13346-017-0383-6.</w:t>
      </w:r>
    </w:p>
    <w:p w14:paraId="1F73471C" w14:textId="77777777" w:rsidR="00824E87" w:rsidRDefault="00824E87" w:rsidP="00E2407B">
      <w:pPr>
        <w:spacing w:line="360" w:lineRule="auto"/>
        <w:ind w:left="720" w:hanging="720"/>
        <w:rPr>
          <w:rFonts w:eastAsia="Arial" w:cs="Arial"/>
          <w:sz w:val="24"/>
          <w:szCs w:val="24"/>
        </w:rPr>
      </w:pPr>
    </w:p>
    <w:p w14:paraId="247BC03C" w14:textId="77777777" w:rsidR="00824E87" w:rsidRDefault="00824E87" w:rsidP="00E2407B">
      <w:pPr>
        <w:spacing w:line="360" w:lineRule="auto"/>
        <w:ind w:left="720" w:hanging="720"/>
        <w:rPr>
          <w:rFonts w:eastAsia="Arial" w:cs="Arial"/>
          <w:sz w:val="24"/>
          <w:szCs w:val="24"/>
        </w:rPr>
      </w:pPr>
    </w:p>
    <w:p w14:paraId="3A8A8714" w14:textId="77777777" w:rsidR="00824E87" w:rsidRDefault="00824E87" w:rsidP="00E2407B">
      <w:pPr>
        <w:spacing w:line="360" w:lineRule="auto"/>
        <w:ind w:left="720" w:hanging="720"/>
        <w:rPr>
          <w:rFonts w:eastAsia="Arial" w:cs="Arial"/>
          <w:sz w:val="24"/>
          <w:szCs w:val="24"/>
        </w:rPr>
      </w:pPr>
    </w:p>
    <w:p w14:paraId="6F6CD677" w14:textId="6EA57D71" w:rsidR="00824E87" w:rsidRPr="00E2407B" w:rsidRDefault="00824E87" w:rsidP="00E2407B">
      <w:pPr>
        <w:spacing w:line="360" w:lineRule="auto"/>
        <w:ind w:left="720" w:hanging="720"/>
        <w:rPr>
          <w:rFonts w:eastAsia="Arial" w:cs="Arial"/>
          <w:sz w:val="24"/>
          <w:szCs w:val="24"/>
        </w:rPr>
      </w:pPr>
      <w:r w:rsidRPr="00824E87">
        <w:rPr>
          <w:rFonts w:eastAsia="Arial" w:cs="Arial"/>
          <w:sz w:val="24"/>
          <w:szCs w:val="24"/>
        </w:rPr>
        <w:lastRenderedPageBreak/>
        <w:drawing>
          <wp:inline distT="0" distB="0" distL="0" distR="0" wp14:anchorId="5DCA3D6D" wp14:editId="1A341602">
            <wp:extent cx="6592873" cy="3708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99557" cy="3712160"/>
                    </a:xfrm>
                    <a:prstGeom prst="rect">
                      <a:avLst/>
                    </a:prstGeom>
                  </pic:spPr>
                </pic:pic>
              </a:graphicData>
            </a:graphic>
          </wp:inline>
        </w:drawing>
      </w:r>
    </w:p>
    <w:p w14:paraId="5A476B1A" w14:textId="77777777" w:rsidR="00720511" w:rsidRDefault="00720511" w:rsidP="00E2407B">
      <w:pPr>
        <w:spacing w:after="0" w:line="360" w:lineRule="auto"/>
        <w:ind w:left="284" w:hanging="284"/>
        <w:rPr>
          <w:rFonts w:eastAsia="Arial" w:cs="Arial"/>
          <w:sz w:val="24"/>
          <w:szCs w:val="24"/>
        </w:rPr>
      </w:pPr>
      <w:bookmarkStart w:id="53" w:name="_111kx3o" w:colFirst="0" w:colLast="0"/>
      <w:bookmarkEnd w:id="53"/>
    </w:p>
    <w:p w14:paraId="06230687" w14:textId="77777777" w:rsidR="00824E87" w:rsidRDefault="00824E87" w:rsidP="00E2407B">
      <w:pPr>
        <w:spacing w:after="0" w:line="360" w:lineRule="auto"/>
        <w:ind w:left="284" w:hanging="284"/>
        <w:rPr>
          <w:rFonts w:eastAsia="Arial" w:cs="Arial"/>
          <w:sz w:val="24"/>
          <w:szCs w:val="24"/>
        </w:rPr>
      </w:pPr>
    </w:p>
    <w:p w14:paraId="08BE219E" w14:textId="77777777" w:rsidR="00824E87" w:rsidRDefault="00824E87" w:rsidP="00E2407B">
      <w:pPr>
        <w:spacing w:after="0" w:line="360" w:lineRule="auto"/>
        <w:ind w:left="284" w:hanging="284"/>
        <w:rPr>
          <w:rFonts w:eastAsia="Arial" w:cs="Arial"/>
          <w:sz w:val="24"/>
          <w:szCs w:val="24"/>
        </w:rPr>
      </w:pPr>
    </w:p>
    <w:p w14:paraId="011C6333" w14:textId="77777777" w:rsidR="00824E87" w:rsidRDefault="00824E87" w:rsidP="00E2407B">
      <w:pPr>
        <w:spacing w:after="0" w:line="360" w:lineRule="auto"/>
        <w:ind w:left="284" w:hanging="284"/>
        <w:rPr>
          <w:rFonts w:eastAsia="Arial" w:cs="Arial"/>
          <w:sz w:val="24"/>
          <w:szCs w:val="24"/>
        </w:rPr>
      </w:pPr>
    </w:p>
    <w:p w14:paraId="391642DE" w14:textId="77777777" w:rsidR="00824E87" w:rsidRDefault="00824E87" w:rsidP="00E2407B">
      <w:pPr>
        <w:spacing w:after="0" w:line="360" w:lineRule="auto"/>
        <w:ind w:left="284" w:hanging="284"/>
        <w:rPr>
          <w:rFonts w:eastAsia="Arial" w:cs="Arial"/>
          <w:sz w:val="24"/>
          <w:szCs w:val="24"/>
        </w:rPr>
      </w:pPr>
    </w:p>
    <w:p w14:paraId="260FFFFD" w14:textId="77777777" w:rsidR="00824E87" w:rsidRDefault="00824E87" w:rsidP="00E2407B">
      <w:pPr>
        <w:spacing w:after="0" w:line="360" w:lineRule="auto"/>
        <w:ind w:left="284" w:hanging="284"/>
        <w:rPr>
          <w:rFonts w:eastAsia="Arial" w:cs="Arial"/>
          <w:sz w:val="24"/>
          <w:szCs w:val="24"/>
        </w:rPr>
      </w:pPr>
    </w:p>
    <w:p w14:paraId="4EDC5AD6" w14:textId="77777777" w:rsidR="00824E87" w:rsidRDefault="00824E87" w:rsidP="00E2407B">
      <w:pPr>
        <w:spacing w:after="0" w:line="360" w:lineRule="auto"/>
        <w:ind w:left="284" w:hanging="284"/>
        <w:rPr>
          <w:rFonts w:eastAsia="Arial" w:cs="Arial"/>
          <w:sz w:val="24"/>
          <w:szCs w:val="24"/>
        </w:rPr>
      </w:pPr>
    </w:p>
    <w:p w14:paraId="769599FB" w14:textId="77777777" w:rsidR="00824E87" w:rsidRDefault="00824E87" w:rsidP="00E2407B">
      <w:pPr>
        <w:spacing w:after="0" w:line="360" w:lineRule="auto"/>
        <w:ind w:left="284" w:hanging="284"/>
        <w:rPr>
          <w:rFonts w:eastAsia="Arial" w:cs="Arial"/>
          <w:sz w:val="24"/>
          <w:szCs w:val="24"/>
        </w:rPr>
      </w:pPr>
    </w:p>
    <w:p w14:paraId="64413502" w14:textId="77777777" w:rsidR="00824E87" w:rsidRDefault="00824E87" w:rsidP="00E2407B">
      <w:pPr>
        <w:spacing w:after="0" w:line="360" w:lineRule="auto"/>
        <w:ind w:left="284" w:hanging="284"/>
        <w:rPr>
          <w:rFonts w:eastAsia="Arial" w:cs="Arial"/>
          <w:sz w:val="24"/>
          <w:szCs w:val="24"/>
        </w:rPr>
      </w:pPr>
    </w:p>
    <w:p w14:paraId="349B6D43" w14:textId="77777777" w:rsidR="00824E87" w:rsidRDefault="00824E87" w:rsidP="00E2407B">
      <w:pPr>
        <w:spacing w:after="0" w:line="360" w:lineRule="auto"/>
        <w:ind w:left="284" w:hanging="284"/>
        <w:rPr>
          <w:rFonts w:eastAsia="Arial" w:cs="Arial"/>
          <w:sz w:val="24"/>
          <w:szCs w:val="24"/>
        </w:rPr>
      </w:pPr>
    </w:p>
    <w:p w14:paraId="49BB6D85" w14:textId="77777777" w:rsidR="00824E87" w:rsidRDefault="00824E87" w:rsidP="00E2407B">
      <w:pPr>
        <w:spacing w:after="0" w:line="360" w:lineRule="auto"/>
        <w:ind w:left="284" w:hanging="284"/>
        <w:rPr>
          <w:rFonts w:eastAsia="Arial" w:cs="Arial"/>
          <w:sz w:val="24"/>
          <w:szCs w:val="24"/>
        </w:rPr>
      </w:pPr>
    </w:p>
    <w:p w14:paraId="36655A6A" w14:textId="77777777" w:rsidR="00824E87" w:rsidRDefault="00824E87" w:rsidP="00E2407B">
      <w:pPr>
        <w:spacing w:after="0" w:line="360" w:lineRule="auto"/>
        <w:ind w:left="284" w:hanging="284"/>
        <w:rPr>
          <w:rFonts w:eastAsia="Arial" w:cs="Arial"/>
          <w:sz w:val="24"/>
          <w:szCs w:val="24"/>
        </w:rPr>
      </w:pPr>
    </w:p>
    <w:p w14:paraId="694A58D7" w14:textId="77777777" w:rsidR="00824E87" w:rsidRDefault="00824E87" w:rsidP="00E2407B">
      <w:pPr>
        <w:spacing w:after="0" w:line="360" w:lineRule="auto"/>
        <w:ind w:left="284" w:hanging="284"/>
        <w:rPr>
          <w:rFonts w:eastAsia="Arial" w:cs="Arial"/>
          <w:sz w:val="24"/>
          <w:szCs w:val="24"/>
        </w:rPr>
      </w:pPr>
    </w:p>
    <w:p w14:paraId="643F231E" w14:textId="77777777" w:rsidR="00824E87" w:rsidRDefault="00824E87" w:rsidP="00E2407B">
      <w:pPr>
        <w:spacing w:after="0" w:line="360" w:lineRule="auto"/>
        <w:ind w:left="284" w:hanging="284"/>
        <w:rPr>
          <w:rFonts w:eastAsia="Arial" w:cs="Arial"/>
          <w:sz w:val="24"/>
          <w:szCs w:val="24"/>
        </w:rPr>
      </w:pPr>
    </w:p>
    <w:p w14:paraId="65332F21" w14:textId="77777777" w:rsidR="00824E87" w:rsidRDefault="00824E87" w:rsidP="00E2407B">
      <w:pPr>
        <w:spacing w:after="0" w:line="360" w:lineRule="auto"/>
        <w:ind w:left="284" w:hanging="284"/>
        <w:rPr>
          <w:rFonts w:eastAsia="Arial" w:cs="Arial"/>
          <w:sz w:val="24"/>
          <w:szCs w:val="24"/>
        </w:rPr>
      </w:pPr>
    </w:p>
    <w:p w14:paraId="77A40124" w14:textId="77777777" w:rsidR="00824E87" w:rsidRDefault="00824E87" w:rsidP="00E2407B">
      <w:pPr>
        <w:spacing w:after="0" w:line="360" w:lineRule="auto"/>
        <w:ind w:left="284" w:hanging="284"/>
        <w:rPr>
          <w:rFonts w:eastAsia="Arial" w:cs="Arial"/>
          <w:sz w:val="24"/>
          <w:szCs w:val="24"/>
        </w:rPr>
      </w:pPr>
    </w:p>
    <w:p w14:paraId="69CCC174" w14:textId="77777777" w:rsidR="00824E87" w:rsidRDefault="00824E87" w:rsidP="00E2407B">
      <w:pPr>
        <w:spacing w:after="0" w:line="360" w:lineRule="auto"/>
        <w:ind w:left="284" w:hanging="284"/>
        <w:rPr>
          <w:rFonts w:eastAsia="Arial" w:cs="Arial"/>
          <w:sz w:val="24"/>
          <w:szCs w:val="24"/>
        </w:rPr>
      </w:pPr>
    </w:p>
    <w:p w14:paraId="6F267740" w14:textId="77777777" w:rsidR="00824E87" w:rsidRDefault="00824E87" w:rsidP="00E2407B">
      <w:pPr>
        <w:spacing w:after="0" w:line="360" w:lineRule="auto"/>
        <w:ind w:left="284" w:hanging="284"/>
        <w:rPr>
          <w:rFonts w:eastAsia="Arial" w:cs="Arial"/>
          <w:sz w:val="24"/>
          <w:szCs w:val="24"/>
        </w:rPr>
      </w:pPr>
    </w:p>
    <w:p w14:paraId="31B9B29C" w14:textId="77777777" w:rsidR="00824E87" w:rsidRDefault="00824E87" w:rsidP="00E2407B">
      <w:pPr>
        <w:spacing w:after="0" w:line="360" w:lineRule="auto"/>
        <w:ind w:left="284" w:hanging="284"/>
        <w:rPr>
          <w:rFonts w:eastAsia="Arial" w:cs="Arial"/>
          <w:sz w:val="24"/>
          <w:szCs w:val="24"/>
        </w:rPr>
      </w:pPr>
    </w:p>
    <w:p w14:paraId="3C05D4ED" w14:textId="79E98D73" w:rsidR="00824E87" w:rsidRDefault="00824E87" w:rsidP="00E2407B">
      <w:pPr>
        <w:spacing w:after="0" w:line="360" w:lineRule="auto"/>
        <w:ind w:left="284" w:hanging="284"/>
        <w:rPr>
          <w:rFonts w:eastAsia="Arial" w:cs="Arial"/>
          <w:sz w:val="24"/>
          <w:szCs w:val="24"/>
        </w:rPr>
      </w:pPr>
      <w:r>
        <w:rPr>
          <w:rFonts w:eastAsia="Arial" w:cs="Arial"/>
          <w:noProof/>
          <w:sz w:val="24"/>
          <w:szCs w:val="24"/>
          <w:lang w:val="en-GB" w:eastAsia="en-GB"/>
        </w:rPr>
        <w:lastRenderedPageBreak/>
        <w:drawing>
          <wp:inline distT="0" distB="0" distL="0" distR="0" wp14:anchorId="6D4688C8" wp14:editId="2D10CF62">
            <wp:extent cx="6586220" cy="3705049"/>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4500" cy="3743460"/>
                    </a:xfrm>
                    <a:prstGeom prst="rect">
                      <a:avLst/>
                    </a:prstGeom>
                    <a:noFill/>
                  </pic:spPr>
                </pic:pic>
              </a:graphicData>
            </a:graphic>
          </wp:inline>
        </w:drawing>
      </w:r>
    </w:p>
    <w:p w14:paraId="78F0B40C" w14:textId="77777777" w:rsidR="00824E87" w:rsidRDefault="00824E87" w:rsidP="00E2407B">
      <w:pPr>
        <w:spacing w:after="0" w:line="360" w:lineRule="auto"/>
        <w:ind w:left="284" w:hanging="284"/>
        <w:rPr>
          <w:rFonts w:eastAsia="Arial" w:cs="Arial"/>
          <w:sz w:val="24"/>
          <w:szCs w:val="24"/>
        </w:rPr>
      </w:pPr>
    </w:p>
    <w:p w14:paraId="3E46C094" w14:textId="77777777" w:rsidR="00824E87" w:rsidRDefault="00824E87" w:rsidP="00E2407B">
      <w:pPr>
        <w:spacing w:after="0" w:line="360" w:lineRule="auto"/>
        <w:ind w:left="284" w:hanging="284"/>
        <w:rPr>
          <w:rFonts w:eastAsia="Arial" w:cs="Arial"/>
          <w:sz w:val="24"/>
          <w:szCs w:val="24"/>
        </w:rPr>
      </w:pPr>
    </w:p>
    <w:p w14:paraId="3B56BC97" w14:textId="77777777" w:rsidR="00824E87" w:rsidRDefault="00824E87" w:rsidP="00E2407B">
      <w:pPr>
        <w:spacing w:after="0" w:line="360" w:lineRule="auto"/>
        <w:ind w:left="284" w:hanging="284"/>
        <w:rPr>
          <w:rFonts w:eastAsia="Arial" w:cs="Arial"/>
          <w:sz w:val="24"/>
          <w:szCs w:val="24"/>
        </w:rPr>
      </w:pPr>
    </w:p>
    <w:p w14:paraId="098DC9FF" w14:textId="77777777" w:rsidR="00824E87" w:rsidRDefault="00824E87" w:rsidP="00E2407B">
      <w:pPr>
        <w:spacing w:after="0" w:line="360" w:lineRule="auto"/>
        <w:ind w:left="284" w:hanging="284"/>
        <w:rPr>
          <w:rFonts w:eastAsia="Arial" w:cs="Arial"/>
          <w:sz w:val="24"/>
          <w:szCs w:val="24"/>
        </w:rPr>
      </w:pPr>
    </w:p>
    <w:p w14:paraId="1F8AE6A6" w14:textId="77777777" w:rsidR="00824E87" w:rsidRDefault="00824E87" w:rsidP="00E2407B">
      <w:pPr>
        <w:spacing w:after="0" w:line="360" w:lineRule="auto"/>
        <w:ind w:left="284" w:hanging="284"/>
        <w:rPr>
          <w:rFonts w:eastAsia="Arial" w:cs="Arial"/>
          <w:sz w:val="24"/>
          <w:szCs w:val="24"/>
        </w:rPr>
      </w:pPr>
    </w:p>
    <w:p w14:paraId="2EBF2BD2" w14:textId="77777777" w:rsidR="00824E87" w:rsidRDefault="00824E87" w:rsidP="00E2407B">
      <w:pPr>
        <w:spacing w:after="0" w:line="360" w:lineRule="auto"/>
        <w:ind w:left="284" w:hanging="284"/>
        <w:rPr>
          <w:rFonts w:eastAsia="Arial" w:cs="Arial"/>
          <w:sz w:val="24"/>
          <w:szCs w:val="24"/>
        </w:rPr>
      </w:pPr>
    </w:p>
    <w:p w14:paraId="7700F5FF" w14:textId="77777777" w:rsidR="00824E87" w:rsidRDefault="00824E87" w:rsidP="00E2407B">
      <w:pPr>
        <w:spacing w:after="0" w:line="360" w:lineRule="auto"/>
        <w:ind w:left="284" w:hanging="284"/>
        <w:rPr>
          <w:rFonts w:eastAsia="Arial" w:cs="Arial"/>
          <w:sz w:val="24"/>
          <w:szCs w:val="24"/>
        </w:rPr>
      </w:pPr>
    </w:p>
    <w:p w14:paraId="7AEA2840" w14:textId="77777777" w:rsidR="00824E87" w:rsidRDefault="00824E87" w:rsidP="00E2407B">
      <w:pPr>
        <w:spacing w:after="0" w:line="360" w:lineRule="auto"/>
        <w:ind w:left="284" w:hanging="284"/>
        <w:rPr>
          <w:rFonts w:eastAsia="Arial" w:cs="Arial"/>
          <w:sz w:val="24"/>
          <w:szCs w:val="24"/>
        </w:rPr>
      </w:pPr>
    </w:p>
    <w:p w14:paraId="04171FC2" w14:textId="77777777" w:rsidR="00824E87" w:rsidRDefault="00824E87" w:rsidP="00E2407B">
      <w:pPr>
        <w:spacing w:after="0" w:line="360" w:lineRule="auto"/>
        <w:ind w:left="284" w:hanging="284"/>
        <w:rPr>
          <w:rFonts w:eastAsia="Arial" w:cs="Arial"/>
          <w:sz w:val="24"/>
          <w:szCs w:val="24"/>
        </w:rPr>
      </w:pPr>
    </w:p>
    <w:p w14:paraId="0629F660" w14:textId="77777777" w:rsidR="00824E87" w:rsidRDefault="00824E87" w:rsidP="00E2407B">
      <w:pPr>
        <w:spacing w:after="0" w:line="360" w:lineRule="auto"/>
        <w:ind w:left="284" w:hanging="284"/>
        <w:rPr>
          <w:rFonts w:eastAsia="Arial" w:cs="Arial"/>
          <w:sz w:val="24"/>
          <w:szCs w:val="24"/>
        </w:rPr>
      </w:pPr>
    </w:p>
    <w:p w14:paraId="12DD6A63" w14:textId="77777777" w:rsidR="00824E87" w:rsidRDefault="00824E87" w:rsidP="00E2407B">
      <w:pPr>
        <w:spacing w:after="0" w:line="360" w:lineRule="auto"/>
        <w:ind w:left="284" w:hanging="284"/>
        <w:rPr>
          <w:rFonts w:eastAsia="Arial" w:cs="Arial"/>
          <w:sz w:val="24"/>
          <w:szCs w:val="24"/>
        </w:rPr>
      </w:pPr>
    </w:p>
    <w:p w14:paraId="53472391" w14:textId="77777777" w:rsidR="00824E87" w:rsidRDefault="00824E87" w:rsidP="00E2407B">
      <w:pPr>
        <w:spacing w:after="0" w:line="360" w:lineRule="auto"/>
        <w:ind w:left="284" w:hanging="284"/>
        <w:rPr>
          <w:rFonts w:eastAsia="Arial" w:cs="Arial"/>
          <w:sz w:val="24"/>
          <w:szCs w:val="24"/>
        </w:rPr>
      </w:pPr>
    </w:p>
    <w:p w14:paraId="6B2C5614" w14:textId="77777777" w:rsidR="00824E87" w:rsidRDefault="00824E87" w:rsidP="00E2407B">
      <w:pPr>
        <w:spacing w:after="0" w:line="360" w:lineRule="auto"/>
        <w:ind w:left="284" w:hanging="284"/>
        <w:rPr>
          <w:rFonts w:eastAsia="Arial" w:cs="Arial"/>
          <w:sz w:val="24"/>
          <w:szCs w:val="24"/>
        </w:rPr>
      </w:pPr>
    </w:p>
    <w:p w14:paraId="1EEF2664" w14:textId="77777777" w:rsidR="00824E87" w:rsidRDefault="00824E87" w:rsidP="00E2407B">
      <w:pPr>
        <w:spacing w:after="0" w:line="360" w:lineRule="auto"/>
        <w:ind w:left="284" w:hanging="284"/>
        <w:rPr>
          <w:rFonts w:eastAsia="Arial" w:cs="Arial"/>
          <w:sz w:val="24"/>
          <w:szCs w:val="24"/>
        </w:rPr>
      </w:pPr>
    </w:p>
    <w:p w14:paraId="57A09E2C" w14:textId="77777777" w:rsidR="00824E87" w:rsidRDefault="00824E87" w:rsidP="00E2407B">
      <w:pPr>
        <w:spacing w:after="0" w:line="360" w:lineRule="auto"/>
        <w:ind w:left="284" w:hanging="284"/>
        <w:rPr>
          <w:rFonts w:eastAsia="Arial" w:cs="Arial"/>
          <w:sz w:val="24"/>
          <w:szCs w:val="24"/>
        </w:rPr>
      </w:pPr>
    </w:p>
    <w:p w14:paraId="47E0E1A4" w14:textId="77777777" w:rsidR="00824E87" w:rsidRDefault="00824E87" w:rsidP="00E2407B">
      <w:pPr>
        <w:spacing w:after="0" w:line="360" w:lineRule="auto"/>
        <w:ind w:left="284" w:hanging="284"/>
        <w:rPr>
          <w:rFonts w:eastAsia="Arial" w:cs="Arial"/>
          <w:sz w:val="24"/>
          <w:szCs w:val="24"/>
        </w:rPr>
      </w:pPr>
    </w:p>
    <w:p w14:paraId="193D1A63" w14:textId="77777777" w:rsidR="00824E87" w:rsidRDefault="00824E87" w:rsidP="00E2407B">
      <w:pPr>
        <w:spacing w:after="0" w:line="360" w:lineRule="auto"/>
        <w:ind w:left="284" w:hanging="284"/>
        <w:rPr>
          <w:rFonts w:eastAsia="Arial" w:cs="Arial"/>
          <w:sz w:val="24"/>
          <w:szCs w:val="24"/>
        </w:rPr>
      </w:pPr>
    </w:p>
    <w:p w14:paraId="5829F838" w14:textId="77777777" w:rsidR="00824E87" w:rsidRDefault="00824E87" w:rsidP="00E2407B">
      <w:pPr>
        <w:spacing w:after="0" w:line="360" w:lineRule="auto"/>
        <w:ind w:left="284" w:hanging="284"/>
        <w:rPr>
          <w:rFonts w:eastAsia="Arial" w:cs="Arial"/>
          <w:sz w:val="24"/>
          <w:szCs w:val="24"/>
        </w:rPr>
      </w:pPr>
    </w:p>
    <w:p w14:paraId="5D245548" w14:textId="77777777" w:rsidR="00824E87" w:rsidRDefault="00824E87" w:rsidP="00E2407B">
      <w:pPr>
        <w:spacing w:after="0" w:line="360" w:lineRule="auto"/>
        <w:ind w:left="284" w:hanging="284"/>
        <w:rPr>
          <w:rFonts w:eastAsia="Arial" w:cs="Arial"/>
          <w:sz w:val="24"/>
          <w:szCs w:val="24"/>
        </w:rPr>
      </w:pPr>
    </w:p>
    <w:p w14:paraId="55E89C4C" w14:textId="3D5AB3BB" w:rsidR="00824E87" w:rsidRDefault="00824E87" w:rsidP="00E2407B">
      <w:pPr>
        <w:spacing w:after="0" w:line="360" w:lineRule="auto"/>
        <w:ind w:left="284" w:hanging="284"/>
        <w:rPr>
          <w:rFonts w:eastAsia="Arial" w:cs="Arial"/>
          <w:sz w:val="24"/>
          <w:szCs w:val="24"/>
        </w:rPr>
      </w:pPr>
      <w:r>
        <w:rPr>
          <w:rFonts w:eastAsia="Arial" w:cs="Arial"/>
          <w:noProof/>
          <w:sz w:val="24"/>
          <w:szCs w:val="24"/>
          <w:lang w:val="en-GB" w:eastAsia="en-GB"/>
        </w:rPr>
        <w:lastRenderedPageBreak/>
        <w:drawing>
          <wp:inline distT="0" distB="0" distL="0" distR="0" wp14:anchorId="7CD91509" wp14:editId="6D5B42F5">
            <wp:extent cx="6445250" cy="4159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45250" cy="4159250"/>
                    </a:xfrm>
                    <a:prstGeom prst="rect">
                      <a:avLst/>
                    </a:prstGeom>
                    <a:noFill/>
                  </pic:spPr>
                </pic:pic>
              </a:graphicData>
            </a:graphic>
          </wp:inline>
        </w:drawing>
      </w:r>
    </w:p>
    <w:p w14:paraId="6124A451" w14:textId="77777777" w:rsidR="00824E87" w:rsidRDefault="00824E87" w:rsidP="00E2407B">
      <w:pPr>
        <w:spacing w:after="0" w:line="360" w:lineRule="auto"/>
        <w:ind w:left="284" w:hanging="284"/>
        <w:rPr>
          <w:rFonts w:eastAsia="Arial" w:cs="Arial"/>
          <w:sz w:val="24"/>
          <w:szCs w:val="24"/>
        </w:rPr>
      </w:pPr>
    </w:p>
    <w:p w14:paraId="7AF0EAB3" w14:textId="77777777" w:rsidR="00824E87" w:rsidRDefault="00824E87" w:rsidP="00E2407B">
      <w:pPr>
        <w:spacing w:after="0" w:line="360" w:lineRule="auto"/>
        <w:ind w:left="284" w:hanging="284"/>
        <w:rPr>
          <w:rFonts w:eastAsia="Arial" w:cs="Arial"/>
          <w:sz w:val="24"/>
          <w:szCs w:val="24"/>
        </w:rPr>
      </w:pPr>
    </w:p>
    <w:p w14:paraId="0768D289" w14:textId="77777777" w:rsidR="00824E87" w:rsidRDefault="00824E87" w:rsidP="00E2407B">
      <w:pPr>
        <w:spacing w:after="0" w:line="360" w:lineRule="auto"/>
        <w:ind w:left="284" w:hanging="284"/>
        <w:rPr>
          <w:rFonts w:eastAsia="Arial" w:cs="Arial"/>
          <w:sz w:val="24"/>
          <w:szCs w:val="24"/>
        </w:rPr>
      </w:pPr>
    </w:p>
    <w:p w14:paraId="5B618ED6" w14:textId="77777777" w:rsidR="00824E87" w:rsidRDefault="00824E87" w:rsidP="00E2407B">
      <w:pPr>
        <w:spacing w:after="0" w:line="360" w:lineRule="auto"/>
        <w:ind w:left="284" w:hanging="284"/>
        <w:rPr>
          <w:rFonts w:eastAsia="Arial" w:cs="Arial"/>
          <w:sz w:val="24"/>
          <w:szCs w:val="24"/>
        </w:rPr>
      </w:pPr>
    </w:p>
    <w:p w14:paraId="48B18301" w14:textId="77777777" w:rsidR="00824E87" w:rsidRDefault="00824E87" w:rsidP="00E2407B">
      <w:pPr>
        <w:spacing w:after="0" w:line="360" w:lineRule="auto"/>
        <w:ind w:left="284" w:hanging="284"/>
        <w:rPr>
          <w:rFonts w:eastAsia="Arial" w:cs="Arial"/>
          <w:sz w:val="24"/>
          <w:szCs w:val="24"/>
        </w:rPr>
      </w:pPr>
    </w:p>
    <w:p w14:paraId="5CFBA058" w14:textId="77777777" w:rsidR="00824E87" w:rsidRDefault="00824E87" w:rsidP="00E2407B">
      <w:pPr>
        <w:spacing w:after="0" w:line="360" w:lineRule="auto"/>
        <w:ind w:left="284" w:hanging="284"/>
        <w:rPr>
          <w:rFonts w:eastAsia="Arial" w:cs="Arial"/>
          <w:sz w:val="24"/>
          <w:szCs w:val="24"/>
        </w:rPr>
      </w:pPr>
    </w:p>
    <w:p w14:paraId="3C4327C9" w14:textId="77777777" w:rsidR="00824E87" w:rsidRDefault="00824E87" w:rsidP="00E2407B">
      <w:pPr>
        <w:spacing w:after="0" w:line="360" w:lineRule="auto"/>
        <w:ind w:left="284" w:hanging="284"/>
        <w:rPr>
          <w:rFonts w:eastAsia="Arial" w:cs="Arial"/>
          <w:sz w:val="24"/>
          <w:szCs w:val="24"/>
        </w:rPr>
      </w:pPr>
    </w:p>
    <w:p w14:paraId="775A1F5C" w14:textId="77777777" w:rsidR="00824E87" w:rsidRDefault="00824E87" w:rsidP="00E2407B">
      <w:pPr>
        <w:spacing w:after="0" w:line="360" w:lineRule="auto"/>
        <w:ind w:left="284" w:hanging="284"/>
        <w:rPr>
          <w:rFonts w:eastAsia="Arial" w:cs="Arial"/>
          <w:sz w:val="24"/>
          <w:szCs w:val="24"/>
        </w:rPr>
      </w:pPr>
    </w:p>
    <w:p w14:paraId="5772085A" w14:textId="77777777" w:rsidR="00824E87" w:rsidRDefault="00824E87" w:rsidP="00E2407B">
      <w:pPr>
        <w:spacing w:after="0" w:line="360" w:lineRule="auto"/>
        <w:ind w:left="284" w:hanging="284"/>
        <w:rPr>
          <w:rFonts w:eastAsia="Arial" w:cs="Arial"/>
          <w:sz w:val="24"/>
          <w:szCs w:val="24"/>
        </w:rPr>
      </w:pPr>
    </w:p>
    <w:p w14:paraId="4CB74F51" w14:textId="77777777" w:rsidR="00824E87" w:rsidRDefault="00824E87" w:rsidP="00E2407B">
      <w:pPr>
        <w:spacing w:after="0" w:line="360" w:lineRule="auto"/>
        <w:ind w:left="284" w:hanging="284"/>
        <w:rPr>
          <w:rFonts w:eastAsia="Arial" w:cs="Arial"/>
          <w:sz w:val="24"/>
          <w:szCs w:val="24"/>
        </w:rPr>
      </w:pPr>
    </w:p>
    <w:p w14:paraId="2F6AC279" w14:textId="77777777" w:rsidR="00824E87" w:rsidRDefault="00824E87" w:rsidP="00E2407B">
      <w:pPr>
        <w:spacing w:after="0" w:line="360" w:lineRule="auto"/>
        <w:ind w:left="284" w:hanging="284"/>
        <w:rPr>
          <w:rFonts w:eastAsia="Arial" w:cs="Arial"/>
          <w:sz w:val="24"/>
          <w:szCs w:val="24"/>
        </w:rPr>
      </w:pPr>
    </w:p>
    <w:p w14:paraId="2DB372F3" w14:textId="77777777" w:rsidR="00824E87" w:rsidRDefault="00824E87" w:rsidP="00E2407B">
      <w:pPr>
        <w:spacing w:after="0" w:line="360" w:lineRule="auto"/>
        <w:ind w:left="284" w:hanging="284"/>
        <w:rPr>
          <w:rFonts w:eastAsia="Arial" w:cs="Arial"/>
          <w:sz w:val="24"/>
          <w:szCs w:val="24"/>
        </w:rPr>
      </w:pPr>
    </w:p>
    <w:p w14:paraId="584DA9B2" w14:textId="77777777" w:rsidR="00824E87" w:rsidRDefault="00824E87" w:rsidP="00E2407B">
      <w:pPr>
        <w:spacing w:after="0" w:line="360" w:lineRule="auto"/>
        <w:ind w:left="284" w:hanging="284"/>
        <w:rPr>
          <w:rFonts w:eastAsia="Arial" w:cs="Arial"/>
          <w:sz w:val="24"/>
          <w:szCs w:val="24"/>
        </w:rPr>
      </w:pPr>
    </w:p>
    <w:p w14:paraId="3673EE34" w14:textId="77777777" w:rsidR="00824E87" w:rsidRDefault="00824E87" w:rsidP="00E2407B">
      <w:pPr>
        <w:spacing w:after="0" w:line="360" w:lineRule="auto"/>
        <w:ind w:left="284" w:hanging="284"/>
        <w:rPr>
          <w:rFonts w:eastAsia="Arial" w:cs="Arial"/>
          <w:sz w:val="24"/>
          <w:szCs w:val="24"/>
        </w:rPr>
      </w:pPr>
    </w:p>
    <w:p w14:paraId="188600E2" w14:textId="77777777" w:rsidR="00824E87" w:rsidRDefault="00824E87" w:rsidP="00E2407B">
      <w:pPr>
        <w:spacing w:after="0" w:line="360" w:lineRule="auto"/>
        <w:ind w:left="284" w:hanging="284"/>
        <w:rPr>
          <w:rFonts w:eastAsia="Arial" w:cs="Arial"/>
          <w:sz w:val="24"/>
          <w:szCs w:val="24"/>
        </w:rPr>
      </w:pPr>
    </w:p>
    <w:p w14:paraId="67DC9639" w14:textId="77777777" w:rsidR="00824E87" w:rsidRDefault="00824E87" w:rsidP="00E2407B">
      <w:pPr>
        <w:spacing w:after="0" w:line="360" w:lineRule="auto"/>
        <w:ind w:left="284" w:hanging="284"/>
        <w:rPr>
          <w:rFonts w:eastAsia="Arial" w:cs="Arial"/>
          <w:sz w:val="24"/>
          <w:szCs w:val="24"/>
        </w:rPr>
      </w:pPr>
    </w:p>
    <w:p w14:paraId="147BE46C" w14:textId="77777777" w:rsidR="00824E87" w:rsidRDefault="00824E87" w:rsidP="00E2407B">
      <w:pPr>
        <w:spacing w:after="0" w:line="360" w:lineRule="auto"/>
        <w:ind w:left="284" w:hanging="284"/>
        <w:rPr>
          <w:rFonts w:eastAsia="Arial" w:cs="Arial"/>
          <w:sz w:val="24"/>
          <w:szCs w:val="24"/>
        </w:rPr>
      </w:pPr>
    </w:p>
    <w:p w14:paraId="68AF200F" w14:textId="6A1295C7" w:rsidR="00824E87" w:rsidRPr="00E2407B" w:rsidRDefault="00824E87" w:rsidP="00E2407B">
      <w:pPr>
        <w:spacing w:after="0" w:line="360" w:lineRule="auto"/>
        <w:ind w:left="284" w:hanging="284"/>
        <w:rPr>
          <w:rFonts w:eastAsia="Arial" w:cs="Arial"/>
          <w:sz w:val="24"/>
          <w:szCs w:val="24"/>
        </w:rPr>
      </w:pPr>
      <w:bookmarkStart w:id="54" w:name="_GoBack"/>
      <w:r>
        <w:rPr>
          <w:rFonts w:eastAsia="Arial" w:cs="Arial"/>
          <w:noProof/>
          <w:sz w:val="24"/>
          <w:szCs w:val="24"/>
          <w:lang w:val="en-GB" w:eastAsia="en-GB"/>
        </w:rPr>
        <w:lastRenderedPageBreak/>
        <w:drawing>
          <wp:inline distT="0" distB="0" distL="0" distR="0" wp14:anchorId="0ED95EF7" wp14:editId="6A4BECF0">
            <wp:extent cx="6515100" cy="39370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15100" cy="3937000"/>
                    </a:xfrm>
                    <a:prstGeom prst="rect">
                      <a:avLst/>
                    </a:prstGeom>
                    <a:noFill/>
                  </pic:spPr>
                </pic:pic>
              </a:graphicData>
            </a:graphic>
          </wp:inline>
        </w:drawing>
      </w:r>
      <w:bookmarkEnd w:id="54"/>
    </w:p>
    <w:sectPr w:rsidR="00824E87" w:rsidRPr="00E2407B" w:rsidSect="00B32640">
      <w:headerReference w:type="default" r:id="rId15"/>
      <w:footerReference w:type="default" r:id="rId16"/>
      <w:pgSz w:w="11906" w:h="16838"/>
      <w:pgMar w:top="1440" w:right="1440" w:bottom="1440" w:left="1440"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3EC80B" w16cid:durableId="1E141570"/>
  <w16cid:commentId w16cid:paraId="6B7C3F4D" w16cid:durableId="1E14119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1C3A05" w14:textId="77777777" w:rsidR="001F105B" w:rsidRDefault="001F105B">
      <w:pPr>
        <w:spacing w:after="0" w:line="240" w:lineRule="auto"/>
      </w:pPr>
      <w:r>
        <w:separator/>
      </w:r>
    </w:p>
  </w:endnote>
  <w:endnote w:type="continuationSeparator" w:id="0">
    <w:p w14:paraId="21223EC2" w14:textId="77777777" w:rsidR="001F105B" w:rsidRDefault="001F105B">
      <w:pPr>
        <w:spacing w:after="0" w:line="240" w:lineRule="auto"/>
      </w:pPr>
      <w:r>
        <w:continuationSeparator/>
      </w:r>
    </w:p>
  </w:endnote>
  <w:endnote w:type="continuationNotice" w:id="1">
    <w:p w14:paraId="3C8C270F" w14:textId="77777777" w:rsidR="001F105B" w:rsidRDefault="001F10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E4A807" w14:textId="62E79CA4" w:rsidR="0065000C" w:rsidRDefault="0065000C">
    <w:pPr>
      <w:tabs>
        <w:tab w:val="center" w:pos="4513"/>
        <w:tab w:val="right" w:pos="9026"/>
      </w:tabs>
      <w:spacing w:after="0" w:line="240" w:lineRule="auto"/>
      <w:jc w:val="right"/>
    </w:pPr>
    <w:r>
      <w:fldChar w:fldCharType="begin"/>
    </w:r>
    <w:r>
      <w:instrText>PAGE</w:instrText>
    </w:r>
    <w:r>
      <w:fldChar w:fldCharType="separate"/>
    </w:r>
    <w:r w:rsidR="00824E87">
      <w:rPr>
        <w:noProof/>
      </w:rPr>
      <w:t>25</w:t>
    </w:r>
    <w:r>
      <w:fldChar w:fldCharType="end"/>
    </w:r>
  </w:p>
  <w:p w14:paraId="5F0ED761" w14:textId="77777777" w:rsidR="0065000C" w:rsidRDefault="0065000C">
    <w:pPr>
      <w:tabs>
        <w:tab w:val="center" w:pos="4513"/>
        <w:tab w:val="right" w:pos="9026"/>
      </w:tabs>
      <w:spacing w:after="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CC6A74" w14:textId="77777777" w:rsidR="001F105B" w:rsidRDefault="001F105B">
      <w:pPr>
        <w:spacing w:after="0" w:line="240" w:lineRule="auto"/>
      </w:pPr>
      <w:r>
        <w:separator/>
      </w:r>
    </w:p>
  </w:footnote>
  <w:footnote w:type="continuationSeparator" w:id="0">
    <w:p w14:paraId="630DED44" w14:textId="77777777" w:rsidR="001F105B" w:rsidRDefault="001F105B">
      <w:pPr>
        <w:spacing w:after="0" w:line="240" w:lineRule="auto"/>
      </w:pPr>
      <w:r>
        <w:continuationSeparator/>
      </w:r>
    </w:p>
  </w:footnote>
  <w:footnote w:type="continuationNotice" w:id="1">
    <w:p w14:paraId="40ECA5C3" w14:textId="77777777" w:rsidR="001F105B" w:rsidRDefault="001F105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B6EAB6" w14:textId="77777777" w:rsidR="0065000C" w:rsidRDefault="006500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511"/>
    <w:rsid w:val="00011D57"/>
    <w:rsid w:val="00033581"/>
    <w:rsid w:val="00045300"/>
    <w:rsid w:val="00047DFB"/>
    <w:rsid w:val="0006447D"/>
    <w:rsid w:val="000653BF"/>
    <w:rsid w:val="0008003C"/>
    <w:rsid w:val="000901E2"/>
    <w:rsid w:val="000C4F50"/>
    <w:rsid w:val="000C72A4"/>
    <w:rsid w:val="000E336B"/>
    <w:rsid w:val="000E6242"/>
    <w:rsid w:val="001163AC"/>
    <w:rsid w:val="0014353C"/>
    <w:rsid w:val="0016324C"/>
    <w:rsid w:val="00166F74"/>
    <w:rsid w:val="00190FD2"/>
    <w:rsid w:val="001A1D87"/>
    <w:rsid w:val="001D7460"/>
    <w:rsid w:val="001E757F"/>
    <w:rsid w:val="001F105B"/>
    <w:rsid w:val="001F29C2"/>
    <w:rsid w:val="001F3150"/>
    <w:rsid w:val="001F6DFB"/>
    <w:rsid w:val="00202B0D"/>
    <w:rsid w:val="00222ACE"/>
    <w:rsid w:val="00225451"/>
    <w:rsid w:val="0025681D"/>
    <w:rsid w:val="002728D2"/>
    <w:rsid w:val="002734BD"/>
    <w:rsid w:val="00284E5A"/>
    <w:rsid w:val="002A01B0"/>
    <w:rsid w:val="002A213D"/>
    <w:rsid w:val="002D24DA"/>
    <w:rsid w:val="002D625A"/>
    <w:rsid w:val="002D77EC"/>
    <w:rsid w:val="002F36DC"/>
    <w:rsid w:val="00305A92"/>
    <w:rsid w:val="003129A5"/>
    <w:rsid w:val="003139B6"/>
    <w:rsid w:val="00322A61"/>
    <w:rsid w:val="00324379"/>
    <w:rsid w:val="0032504C"/>
    <w:rsid w:val="003271F0"/>
    <w:rsid w:val="00340CB8"/>
    <w:rsid w:val="00345B0A"/>
    <w:rsid w:val="003469CD"/>
    <w:rsid w:val="00347AF9"/>
    <w:rsid w:val="003524D6"/>
    <w:rsid w:val="003804DC"/>
    <w:rsid w:val="003830D4"/>
    <w:rsid w:val="003850FE"/>
    <w:rsid w:val="003955B8"/>
    <w:rsid w:val="003A65B2"/>
    <w:rsid w:val="003D59C2"/>
    <w:rsid w:val="003D7134"/>
    <w:rsid w:val="003F021F"/>
    <w:rsid w:val="003F0C9F"/>
    <w:rsid w:val="003F783A"/>
    <w:rsid w:val="004005A4"/>
    <w:rsid w:val="004163EA"/>
    <w:rsid w:val="004247D3"/>
    <w:rsid w:val="00434785"/>
    <w:rsid w:val="00435872"/>
    <w:rsid w:val="00443F08"/>
    <w:rsid w:val="004553EA"/>
    <w:rsid w:val="00460920"/>
    <w:rsid w:val="00466F9E"/>
    <w:rsid w:val="0047629D"/>
    <w:rsid w:val="00480B2A"/>
    <w:rsid w:val="0048137D"/>
    <w:rsid w:val="00481C12"/>
    <w:rsid w:val="00486CB0"/>
    <w:rsid w:val="004A272C"/>
    <w:rsid w:val="004A72CC"/>
    <w:rsid w:val="004D1CE7"/>
    <w:rsid w:val="004D4894"/>
    <w:rsid w:val="004E3587"/>
    <w:rsid w:val="004F0B72"/>
    <w:rsid w:val="004F3D2C"/>
    <w:rsid w:val="004F5BBB"/>
    <w:rsid w:val="00504423"/>
    <w:rsid w:val="00523EDA"/>
    <w:rsid w:val="00562873"/>
    <w:rsid w:val="0056312F"/>
    <w:rsid w:val="0056552D"/>
    <w:rsid w:val="00584BC9"/>
    <w:rsid w:val="005859C3"/>
    <w:rsid w:val="005B01B6"/>
    <w:rsid w:val="005B55E8"/>
    <w:rsid w:val="005C2E0B"/>
    <w:rsid w:val="005C539D"/>
    <w:rsid w:val="005E6E2B"/>
    <w:rsid w:val="00603C1F"/>
    <w:rsid w:val="00607618"/>
    <w:rsid w:val="00617356"/>
    <w:rsid w:val="00621A1E"/>
    <w:rsid w:val="0065000C"/>
    <w:rsid w:val="00652C3A"/>
    <w:rsid w:val="006642A0"/>
    <w:rsid w:val="00680521"/>
    <w:rsid w:val="0068114C"/>
    <w:rsid w:val="00690A94"/>
    <w:rsid w:val="006A20E1"/>
    <w:rsid w:val="006B680F"/>
    <w:rsid w:val="006C48DC"/>
    <w:rsid w:val="006D1AE7"/>
    <w:rsid w:val="006F5058"/>
    <w:rsid w:val="00720511"/>
    <w:rsid w:val="00736B70"/>
    <w:rsid w:val="0076142E"/>
    <w:rsid w:val="007751D7"/>
    <w:rsid w:val="00781354"/>
    <w:rsid w:val="00790BDA"/>
    <w:rsid w:val="00791FF6"/>
    <w:rsid w:val="007A56F0"/>
    <w:rsid w:val="007C115C"/>
    <w:rsid w:val="007E40D5"/>
    <w:rsid w:val="007F2DCB"/>
    <w:rsid w:val="008009E9"/>
    <w:rsid w:val="0080292E"/>
    <w:rsid w:val="00817159"/>
    <w:rsid w:val="00824703"/>
    <w:rsid w:val="00824E87"/>
    <w:rsid w:val="008269B5"/>
    <w:rsid w:val="00841C5B"/>
    <w:rsid w:val="00844FE9"/>
    <w:rsid w:val="00850DB0"/>
    <w:rsid w:val="0086194F"/>
    <w:rsid w:val="008672C2"/>
    <w:rsid w:val="008825F7"/>
    <w:rsid w:val="0088427D"/>
    <w:rsid w:val="008923F3"/>
    <w:rsid w:val="008A3145"/>
    <w:rsid w:val="008A66D0"/>
    <w:rsid w:val="008D323B"/>
    <w:rsid w:val="008E4EA5"/>
    <w:rsid w:val="00907773"/>
    <w:rsid w:val="00913931"/>
    <w:rsid w:val="00926446"/>
    <w:rsid w:val="00932DA1"/>
    <w:rsid w:val="00936970"/>
    <w:rsid w:val="00940873"/>
    <w:rsid w:val="00942B2B"/>
    <w:rsid w:val="00972482"/>
    <w:rsid w:val="009833EC"/>
    <w:rsid w:val="009901DD"/>
    <w:rsid w:val="009B1871"/>
    <w:rsid w:val="009C3547"/>
    <w:rsid w:val="009D3D8C"/>
    <w:rsid w:val="009F1AEB"/>
    <w:rsid w:val="009F30FF"/>
    <w:rsid w:val="00A02670"/>
    <w:rsid w:val="00A04ACF"/>
    <w:rsid w:val="00A12005"/>
    <w:rsid w:val="00A26417"/>
    <w:rsid w:val="00A35535"/>
    <w:rsid w:val="00A4680B"/>
    <w:rsid w:val="00A8036C"/>
    <w:rsid w:val="00AA2364"/>
    <w:rsid w:val="00AC41F9"/>
    <w:rsid w:val="00AD4F5C"/>
    <w:rsid w:val="00AE5BEC"/>
    <w:rsid w:val="00B0218D"/>
    <w:rsid w:val="00B030C5"/>
    <w:rsid w:val="00B240C4"/>
    <w:rsid w:val="00B32640"/>
    <w:rsid w:val="00B4308C"/>
    <w:rsid w:val="00B45B36"/>
    <w:rsid w:val="00B478AB"/>
    <w:rsid w:val="00B6058D"/>
    <w:rsid w:val="00B74B6E"/>
    <w:rsid w:val="00B821B3"/>
    <w:rsid w:val="00B901C8"/>
    <w:rsid w:val="00B95D29"/>
    <w:rsid w:val="00BB6613"/>
    <w:rsid w:val="00BB7513"/>
    <w:rsid w:val="00BC3A5D"/>
    <w:rsid w:val="00BD5B3A"/>
    <w:rsid w:val="00C07C1B"/>
    <w:rsid w:val="00CA1A3C"/>
    <w:rsid w:val="00CD7D8E"/>
    <w:rsid w:val="00CE2316"/>
    <w:rsid w:val="00CE6146"/>
    <w:rsid w:val="00D02016"/>
    <w:rsid w:val="00D02355"/>
    <w:rsid w:val="00D11D4F"/>
    <w:rsid w:val="00D17C50"/>
    <w:rsid w:val="00D20445"/>
    <w:rsid w:val="00D31C7D"/>
    <w:rsid w:val="00D36994"/>
    <w:rsid w:val="00D4533E"/>
    <w:rsid w:val="00D80356"/>
    <w:rsid w:val="00D92894"/>
    <w:rsid w:val="00D967C7"/>
    <w:rsid w:val="00DA45E3"/>
    <w:rsid w:val="00DB0E0F"/>
    <w:rsid w:val="00DB7A23"/>
    <w:rsid w:val="00DC0421"/>
    <w:rsid w:val="00DE5A78"/>
    <w:rsid w:val="00E0149B"/>
    <w:rsid w:val="00E03CAA"/>
    <w:rsid w:val="00E2407B"/>
    <w:rsid w:val="00E32562"/>
    <w:rsid w:val="00E44109"/>
    <w:rsid w:val="00E550AA"/>
    <w:rsid w:val="00E77D8C"/>
    <w:rsid w:val="00EA489C"/>
    <w:rsid w:val="00EA7878"/>
    <w:rsid w:val="00EB40C3"/>
    <w:rsid w:val="00EB62B9"/>
    <w:rsid w:val="00EC37FB"/>
    <w:rsid w:val="00EC49AB"/>
    <w:rsid w:val="00EC69A6"/>
    <w:rsid w:val="00ED211B"/>
    <w:rsid w:val="00EF171E"/>
    <w:rsid w:val="00F00B47"/>
    <w:rsid w:val="00F36B41"/>
    <w:rsid w:val="00F41D0D"/>
    <w:rsid w:val="00F737A1"/>
    <w:rsid w:val="00F74AA6"/>
    <w:rsid w:val="00F74FF9"/>
    <w:rsid w:val="00F80606"/>
    <w:rsid w:val="00F82064"/>
    <w:rsid w:val="00FA769E"/>
    <w:rsid w:val="00FB6AE2"/>
    <w:rsid w:val="00FC5874"/>
    <w:rsid w:val="00FD56E5"/>
    <w:rsid w:val="00FE4974"/>
    <w:rsid w:val="00FE64C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AA8BE"/>
  <w15:docId w15:val="{D323E4F0-4B89-4943-B25E-7093A85EB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2"/>
        <w:szCs w:val="22"/>
        <w:lang w:val="en-IE" w:eastAsia="en-IE"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32640"/>
  </w:style>
  <w:style w:type="paragraph" w:styleId="Heading1">
    <w:name w:val="heading 1"/>
    <w:basedOn w:val="Normal"/>
    <w:next w:val="Normal"/>
    <w:rsid w:val="00B32640"/>
    <w:pPr>
      <w:keepNext/>
      <w:spacing w:before="240" w:after="60" w:line="240" w:lineRule="auto"/>
      <w:outlineLvl w:val="0"/>
    </w:pPr>
    <w:rPr>
      <w:rFonts w:ascii="Arial" w:eastAsia="Arial" w:hAnsi="Arial" w:cs="Arial"/>
      <w:b/>
      <w:sz w:val="32"/>
      <w:szCs w:val="32"/>
    </w:rPr>
  </w:style>
  <w:style w:type="paragraph" w:styleId="Heading2">
    <w:name w:val="heading 2"/>
    <w:basedOn w:val="Normal"/>
    <w:next w:val="Normal"/>
    <w:rsid w:val="00B32640"/>
    <w:pPr>
      <w:keepNext/>
      <w:spacing w:after="0" w:line="240" w:lineRule="auto"/>
      <w:outlineLvl w:val="1"/>
    </w:pPr>
    <w:rPr>
      <w:b/>
      <w:sz w:val="24"/>
      <w:szCs w:val="24"/>
    </w:rPr>
  </w:style>
  <w:style w:type="paragraph" w:styleId="Heading3">
    <w:name w:val="heading 3"/>
    <w:basedOn w:val="Normal"/>
    <w:next w:val="Normal"/>
    <w:rsid w:val="00B32640"/>
    <w:pPr>
      <w:keepNext/>
      <w:spacing w:after="0" w:line="240" w:lineRule="auto"/>
      <w:jc w:val="both"/>
      <w:outlineLvl w:val="2"/>
    </w:pPr>
    <w:rPr>
      <w:b/>
      <w:sz w:val="24"/>
      <w:szCs w:val="24"/>
    </w:rPr>
  </w:style>
  <w:style w:type="paragraph" w:styleId="Heading4">
    <w:name w:val="heading 4"/>
    <w:basedOn w:val="Normal"/>
    <w:next w:val="Normal"/>
    <w:rsid w:val="00B32640"/>
    <w:pPr>
      <w:keepNext/>
      <w:spacing w:before="240" w:after="60" w:line="240" w:lineRule="auto"/>
      <w:outlineLvl w:val="3"/>
    </w:pPr>
    <w:rPr>
      <w:b/>
      <w:sz w:val="28"/>
      <w:szCs w:val="28"/>
    </w:rPr>
  </w:style>
  <w:style w:type="paragraph" w:styleId="Heading5">
    <w:name w:val="heading 5"/>
    <w:basedOn w:val="Normal"/>
    <w:next w:val="Normal"/>
    <w:rsid w:val="00B32640"/>
    <w:pPr>
      <w:spacing w:before="240" w:after="60" w:line="240" w:lineRule="auto"/>
      <w:outlineLvl w:val="4"/>
    </w:pPr>
    <w:rPr>
      <w:b/>
      <w:i/>
      <w:sz w:val="26"/>
      <w:szCs w:val="26"/>
    </w:rPr>
  </w:style>
  <w:style w:type="paragraph" w:styleId="Heading6">
    <w:name w:val="heading 6"/>
    <w:basedOn w:val="Normal"/>
    <w:next w:val="Normal"/>
    <w:rsid w:val="00B32640"/>
    <w:pPr>
      <w:keepNext/>
      <w:spacing w:after="0"/>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32640"/>
    <w:pPr>
      <w:keepNext/>
      <w:keepLines/>
      <w:spacing w:before="480" w:after="120"/>
    </w:pPr>
    <w:rPr>
      <w:b/>
      <w:sz w:val="72"/>
      <w:szCs w:val="72"/>
    </w:rPr>
  </w:style>
  <w:style w:type="paragraph" w:styleId="Subtitle">
    <w:name w:val="Subtitle"/>
    <w:basedOn w:val="Normal"/>
    <w:next w:val="Normal"/>
    <w:rsid w:val="00B32640"/>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B240C4"/>
    <w:rPr>
      <w:sz w:val="16"/>
      <w:szCs w:val="16"/>
    </w:rPr>
  </w:style>
  <w:style w:type="paragraph" w:styleId="CommentText">
    <w:name w:val="annotation text"/>
    <w:basedOn w:val="Normal"/>
    <w:link w:val="CommentTextChar"/>
    <w:uiPriority w:val="99"/>
    <w:semiHidden/>
    <w:unhideWhenUsed/>
    <w:rsid w:val="00B240C4"/>
    <w:pPr>
      <w:spacing w:line="240" w:lineRule="auto"/>
    </w:pPr>
    <w:rPr>
      <w:sz w:val="20"/>
      <w:szCs w:val="20"/>
    </w:rPr>
  </w:style>
  <w:style w:type="character" w:customStyle="1" w:styleId="CommentTextChar">
    <w:name w:val="Comment Text Char"/>
    <w:basedOn w:val="DefaultParagraphFont"/>
    <w:link w:val="CommentText"/>
    <w:uiPriority w:val="99"/>
    <w:semiHidden/>
    <w:rsid w:val="00B240C4"/>
    <w:rPr>
      <w:sz w:val="20"/>
      <w:szCs w:val="20"/>
    </w:rPr>
  </w:style>
  <w:style w:type="paragraph" w:styleId="CommentSubject">
    <w:name w:val="annotation subject"/>
    <w:basedOn w:val="CommentText"/>
    <w:next w:val="CommentText"/>
    <w:link w:val="CommentSubjectChar"/>
    <w:uiPriority w:val="99"/>
    <w:semiHidden/>
    <w:unhideWhenUsed/>
    <w:rsid w:val="00B240C4"/>
    <w:rPr>
      <w:b/>
      <w:bCs/>
    </w:rPr>
  </w:style>
  <w:style w:type="character" w:customStyle="1" w:styleId="CommentSubjectChar">
    <w:name w:val="Comment Subject Char"/>
    <w:basedOn w:val="CommentTextChar"/>
    <w:link w:val="CommentSubject"/>
    <w:uiPriority w:val="99"/>
    <w:semiHidden/>
    <w:rsid w:val="00B240C4"/>
    <w:rPr>
      <w:b/>
      <w:bCs/>
      <w:sz w:val="20"/>
      <w:szCs w:val="20"/>
    </w:rPr>
  </w:style>
  <w:style w:type="paragraph" w:styleId="BalloonText">
    <w:name w:val="Balloon Text"/>
    <w:basedOn w:val="Normal"/>
    <w:link w:val="BalloonTextChar"/>
    <w:uiPriority w:val="99"/>
    <w:semiHidden/>
    <w:unhideWhenUsed/>
    <w:rsid w:val="00B240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40C4"/>
    <w:rPr>
      <w:rFonts w:ascii="Segoe UI" w:hAnsi="Segoe UI" w:cs="Segoe UI"/>
      <w:sz w:val="18"/>
      <w:szCs w:val="18"/>
    </w:rPr>
  </w:style>
  <w:style w:type="character" w:styleId="Hyperlink">
    <w:name w:val="Hyperlink"/>
    <w:basedOn w:val="DefaultParagraphFont"/>
    <w:uiPriority w:val="99"/>
    <w:unhideWhenUsed/>
    <w:rsid w:val="00844FE9"/>
    <w:rPr>
      <w:color w:val="0000FF" w:themeColor="hyperlink"/>
      <w:u w:val="single"/>
    </w:rPr>
  </w:style>
  <w:style w:type="character" w:customStyle="1" w:styleId="UnresolvedMention1">
    <w:name w:val="Unresolved Mention1"/>
    <w:basedOn w:val="DefaultParagraphFont"/>
    <w:uiPriority w:val="99"/>
    <w:semiHidden/>
    <w:unhideWhenUsed/>
    <w:rsid w:val="00844FE9"/>
    <w:rPr>
      <w:color w:val="808080"/>
      <w:shd w:val="clear" w:color="auto" w:fill="E6E6E6"/>
    </w:rPr>
  </w:style>
  <w:style w:type="paragraph" w:styleId="BodyTextIndent">
    <w:name w:val="Body Text Indent"/>
    <w:basedOn w:val="Normal"/>
    <w:link w:val="BodyTextIndentChar"/>
    <w:uiPriority w:val="99"/>
    <w:unhideWhenUsed/>
    <w:rsid w:val="00E2407B"/>
    <w:pPr>
      <w:spacing w:after="0" w:line="360" w:lineRule="auto"/>
      <w:ind w:left="720" w:hanging="720"/>
    </w:pPr>
    <w:rPr>
      <w:rFonts w:eastAsia="Arial" w:cs="Arial"/>
      <w:sz w:val="24"/>
      <w:szCs w:val="24"/>
    </w:rPr>
  </w:style>
  <w:style w:type="character" w:customStyle="1" w:styleId="BodyTextIndentChar">
    <w:name w:val="Body Text Indent Char"/>
    <w:basedOn w:val="DefaultParagraphFont"/>
    <w:link w:val="BodyTextIndent"/>
    <w:uiPriority w:val="99"/>
    <w:rsid w:val="00E2407B"/>
    <w:rPr>
      <w:rFonts w:eastAsia="Arial" w:cs="Arial"/>
      <w:sz w:val="24"/>
      <w:szCs w:val="24"/>
    </w:rPr>
  </w:style>
  <w:style w:type="paragraph" w:styleId="BodyText">
    <w:name w:val="Body Text"/>
    <w:basedOn w:val="Normal"/>
    <w:link w:val="BodyTextChar"/>
    <w:uiPriority w:val="99"/>
    <w:unhideWhenUsed/>
    <w:rsid w:val="00E2407B"/>
    <w:pPr>
      <w:spacing w:line="360" w:lineRule="auto"/>
      <w:jc w:val="center"/>
    </w:pPr>
    <w:rPr>
      <w:rFonts w:eastAsia="Arial" w:cs="Arial"/>
      <w:b/>
      <w:sz w:val="32"/>
      <w:szCs w:val="34"/>
    </w:rPr>
  </w:style>
  <w:style w:type="character" w:customStyle="1" w:styleId="BodyTextChar">
    <w:name w:val="Body Text Char"/>
    <w:basedOn w:val="DefaultParagraphFont"/>
    <w:link w:val="BodyText"/>
    <w:uiPriority w:val="99"/>
    <w:rsid w:val="00E2407B"/>
    <w:rPr>
      <w:rFonts w:eastAsia="Arial" w:cs="Arial"/>
      <w:b/>
      <w:sz w:val="32"/>
      <w:szCs w:val="34"/>
    </w:rPr>
  </w:style>
  <w:style w:type="paragraph" w:styleId="BodyTextIndent2">
    <w:name w:val="Body Text Indent 2"/>
    <w:basedOn w:val="Normal"/>
    <w:link w:val="BodyTextIndent2Char"/>
    <w:uiPriority w:val="99"/>
    <w:unhideWhenUsed/>
    <w:rsid w:val="00EB62B9"/>
    <w:pPr>
      <w:spacing w:after="0" w:line="360" w:lineRule="auto"/>
      <w:ind w:left="720" w:hanging="720"/>
    </w:pPr>
    <w:rPr>
      <w:rFonts w:eastAsia="Arial" w:cs="Arial"/>
      <w:color w:val="FF0000"/>
      <w:sz w:val="24"/>
      <w:szCs w:val="24"/>
    </w:rPr>
  </w:style>
  <w:style w:type="character" w:customStyle="1" w:styleId="BodyTextIndent2Char">
    <w:name w:val="Body Text Indent 2 Char"/>
    <w:basedOn w:val="DefaultParagraphFont"/>
    <w:link w:val="BodyTextIndent2"/>
    <w:uiPriority w:val="99"/>
    <w:rsid w:val="00EB62B9"/>
    <w:rPr>
      <w:rFonts w:eastAsia="Arial" w:cs="Arial"/>
      <w:color w:val="FF0000"/>
      <w:sz w:val="24"/>
      <w:szCs w:val="24"/>
    </w:rPr>
  </w:style>
  <w:style w:type="paragraph" w:styleId="Revision">
    <w:name w:val="Revision"/>
    <w:hidden/>
    <w:uiPriority w:val="99"/>
    <w:semiHidden/>
    <w:rsid w:val="00736B70"/>
    <w:pPr>
      <w:pBdr>
        <w:top w:val="none" w:sz="0" w:space="0" w:color="auto"/>
        <w:left w:val="none" w:sz="0" w:space="0" w:color="auto"/>
        <w:bottom w:val="none" w:sz="0" w:space="0" w:color="auto"/>
        <w:right w:val="none" w:sz="0" w:space="0" w:color="auto"/>
        <w:between w:val="none" w:sz="0" w:space="0" w:color="auto"/>
      </w:pBdr>
      <w:spacing w:after="0" w:line="240" w:lineRule="auto"/>
    </w:pPr>
  </w:style>
  <w:style w:type="paragraph" w:styleId="Header">
    <w:name w:val="header"/>
    <w:basedOn w:val="Normal"/>
    <w:link w:val="HeaderChar"/>
    <w:uiPriority w:val="99"/>
    <w:unhideWhenUsed/>
    <w:rsid w:val="007E4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824992">
      <w:bodyDiv w:val="1"/>
      <w:marLeft w:val="0"/>
      <w:marRight w:val="0"/>
      <w:marTop w:val="0"/>
      <w:marBottom w:val="0"/>
      <w:divBdr>
        <w:top w:val="none" w:sz="0" w:space="0" w:color="auto"/>
        <w:left w:val="none" w:sz="0" w:space="0" w:color="auto"/>
        <w:bottom w:val="none" w:sz="0" w:space="0" w:color="auto"/>
        <w:right w:val="none" w:sz="0" w:space="0" w:color="auto"/>
      </w:divBdr>
      <w:divsChild>
        <w:div w:id="1205408883">
          <w:marLeft w:val="0"/>
          <w:marRight w:val="0"/>
          <w:marTop w:val="34"/>
          <w:marBottom w:val="34"/>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direct.com/science/article/pii/037851737990053X"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sciencedirect.com/science/article/pii/037851737990053X" TargetMode="Externa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mailto:david.brayden@ucd.ie" TargetMode="Externa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ncbi.nlm.nih.gov/pubmed/29341916" TargetMode="External"/><Relationship Id="rId19" Type="http://schemas.microsoft.com/office/2016/09/relationships/commentsIds" Target="commentsIds.xml"/><Relationship Id="rId4" Type="http://schemas.openxmlformats.org/officeDocument/2006/relationships/footnotes" Target="footnotes.xml"/><Relationship Id="rId9" Type="http://schemas.openxmlformats.org/officeDocument/2006/relationships/hyperlink" Target="http://www.sciencedirect.com/science/article/pii/037851737990053X"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6930</Words>
  <Characters>39503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dc:creator>
  <cp:lastModifiedBy>David Brayden</cp:lastModifiedBy>
  <cp:revision>2</cp:revision>
  <cp:lastPrinted>2018-01-25T11:27:00Z</cp:lastPrinted>
  <dcterms:created xsi:type="dcterms:W3CDTF">2018-02-08T16:44:00Z</dcterms:created>
  <dcterms:modified xsi:type="dcterms:W3CDTF">2018-02-08T16:44:00Z</dcterms:modified>
</cp:coreProperties>
</file>